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8B1A" w14:textId="77777777" w:rsidR="00A86A94" w:rsidRPr="00E61D41" w:rsidRDefault="00A86A94" w:rsidP="00A86A94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1D4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2FF6F74" wp14:editId="0C638611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525D" w14:textId="77777777" w:rsidR="00A86A94" w:rsidRPr="00E61D41" w:rsidRDefault="00A86A94" w:rsidP="00A86A94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УКРАЇНА</w:t>
      </w:r>
    </w:p>
    <w:p w14:paraId="1485A59C" w14:textId="77777777" w:rsidR="00A86A94" w:rsidRPr="00E61D41" w:rsidRDefault="00A86A94" w:rsidP="00A86A94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E61D41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   сільська   рада</w:t>
      </w:r>
    </w:p>
    <w:p w14:paraId="662F13D5" w14:textId="77777777" w:rsidR="00A86A94" w:rsidRPr="00E61D41" w:rsidRDefault="00A86A94" w:rsidP="00A86A94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району </w:t>
      </w: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Рівненської</w:t>
      </w:r>
      <w:r w:rsidRPr="00E61D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</w:t>
      </w:r>
      <w:r w:rsidRPr="00E61D41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14:paraId="3718BB21" w14:textId="77777777" w:rsidR="00A86A94" w:rsidRPr="00E61D41" w:rsidRDefault="00A86A94" w:rsidP="00A86A9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четверта чергова сесія восьмого </w:t>
      </w:r>
      <w:proofErr w:type="spellStart"/>
      <w:r w:rsidRPr="00E61D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E61D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14:paraId="4ACFB848" w14:textId="77777777" w:rsidR="00A86A94" w:rsidRPr="00E61D41" w:rsidRDefault="00A86A94" w:rsidP="00A86A94">
      <w:pPr>
        <w:widowControl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E61D41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1DDD6D16" w14:textId="77777777" w:rsidR="00A86A94" w:rsidRPr="00E61D41" w:rsidRDefault="00A86A94" w:rsidP="00A86A94">
      <w:pPr>
        <w:widowControl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52AEB10B" w14:textId="77777777" w:rsidR="00A86A94" w:rsidRPr="00E61D41" w:rsidRDefault="00A86A94" w:rsidP="00A86A94">
      <w:pPr>
        <w:widowControl/>
        <w:spacing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12CADADA" w14:textId="75E97228" w:rsidR="00A86A94" w:rsidRPr="00E61D41" w:rsidRDefault="009F6E62" w:rsidP="00A86A94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6E6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04 березня 2021року                     </w:t>
      </w:r>
      <w:r w:rsidRPr="009F6E6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</w:r>
      <w:r w:rsidRPr="009F6E6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Pr="009F6E6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</w:r>
      <w:r w:rsidRPr="009F6E6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9F6E6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</w:r>
      <w:r w:rsidRPr="009F6E6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ab/>
        <w:t xml:space="preserve">  № </w:t>
      </w: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92</w:t>
      </w:r>
      <w:r w:rsidRPr="009F6E62"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  </w:t>
      </w:r>
    </w:p>
    <w:p w14:paraId="0B3A873C" w14:textId="77777777" w:rsidR="00A86A94" w:rsidRPr="00E61D41" w:rsidRDefault="00A86A94" w:rsidP="00A86A94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94B01B2" w14:textId="1816140A" w:rsidR="00A86A94" w:rsidRPr="00E61D41" w:rsidRDefault="00A86A94" w:rsidP="009F6E62">
      <w:pPr>
        <w:widowControl/>
        <w:spacing w:line="276" w:lineRule="auto"/>
        <w:ind w:right="5386"/>
        <w:jc w:val="lowKashida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</w:t>
      </w:r>
      <w:r w:rsidR="005C0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5C0C6C" w:rsidRPr="005C0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затвердження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Програм</w:t>
      </w:r>
      <w:r w:rsidR="005C0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и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5C0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«Р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озвитку туризму </w:t>
      </w:r>
      <w:proofErr w:type="spellStart"/>
      <w:r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Білокриницької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територіальної громади</w:t>
      </w:r>
      <w:r w:rsidR="005C0C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»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на 2021-2023 роки</w:t>
      </w:r>
    </w:p>
    <w:p w14:paraId="7D8CF568" w14:textId="77777777" w:rsidR="00A86A94" w:rsidRDefault="00A86A94" w:rsidP="009F6E62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AF9EA1" w14:textId="5EC94694" w:rsidR="00A86A94" w:rsidRPr="00E61D41" w:rsidRDefault="00A86A94" w:rsidP="009F6E62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 створення</w:t>
      </w:r>
      <w:r w:rsidRPr="00C3326A">
        <w:rPr>
          <w:lang w:val="uk-UA"/>
        </w:rPr>
        <w:t xml:space="preserve"> </w:t>
      </w:r>
      <w:r w:rsidRPr="00C33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конкурентоспроможного туристичного продукту здатного максимально задовольнити туристичні потреби населення </w:t>
      </w:r>
      <w:proofErr w:type="spellStart"/>
      <w:r w:rsidRPr="00C33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Білокриницької</w:t>
      </w:r>
      <w:proofErr w:type="spellEnd"/>
      <w:r w:rsidRPr="00C33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за умови збереження екологічної рівноваги та історико-культурної спадщини, збільшення туристичних потоків, а також перетворення галузі туризму в стабільне і вагоме джерело надходжень бюджету </w:t>
      </w:r>
      <w:proofErr w:type="spellStart"/>
      <w:r w:rsidRPr="00C33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Білокриницької</w:t>
      </w:r>
      <w:proofErr w:type="spellEnd"/>
      <w:r w:rsidRPr="00C33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шляхом залучення інвестицій та збільшення кількості зайнятих у галузі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 22 статті 26 Закону України  “Про місцеве самоврядування в Україні“,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погодженням з постійними комісіями</w:t>
      </w:r>
      <w:r w:rsidR="009F6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сільська рада</w:t>
      </w:r>
    </w:p>
    <w:p w14:paraId="2365461B" w14:textId="77777777" w:rsidR="00A86A94" w:rsidRPr="00E61D41" w:rsidRDefault="00A86A94" w:rsidP="00A86A9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3F3573" w14:textId="77777777" w:rsidR="00A86A94" w:rsidRPr="00E61D41" w:rsidRDefault="00A86A94" w:rsidP="00A86A94">
      <w:pPr>
        <w:widowControl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36F26D19" w14:textId="77777777" w:rsidR="00A86A94" w:rsidRPr="00E61D41" w:rsidRDefault="00A86A94" w:rsidP="00A86A94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D50165A" w14:textId="2C342DE5" w:rsidR="00A86A94" w:rsidRDefault="00A86A94" w:rsidP="00A86A9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озвитку туризму </w:t>
      </w:r>
      <w:proofErr w:type="spellStart"/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Білокриницької</w:t>
      </w:r>
      <w:proofErr w:type="spellEnd"/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5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2021-2023 роки,  додається.</w:t>
      </w:r>
    </w:p>
    <w:p w14:paraId="54762BFF" w14:textId="77777777" w:rsidR="00A86A94" w:rsidRPr="00E61D41" w:rsidRDefault="00A86A94" w:rsidP="00A86A9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82C368" w14:textId="77777777" w:rsidR="00A86A94" w:rsidRPr="00E61D41" w:rsidRDefault="00A86A94" w:rsidP="00A86A94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 Контроль за </w:t>
      </w:r>
      <w:proofErr w:type="spellStart"/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E61D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E61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бюджету, фінансів та соціально - економічного розвитку громади.</w:t>
      </w:r>
    </w:p>
    <w:p w14:paraId="1D4310C8" w14:textId="77777777" w:rsidR="00A86A94" w:rsidRDefault="00A86A94" w:rsidP="00A86A94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9A6A20" w14:textId="77777777" w:rsidR="00A86A94" w:rsidRDefault="00A86A94" w:rsidP="00A86A94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046C60" w14:textId="30E78307" w:rsidR="00E61D41" w:rsidRDefault="00A86A94" w:rsidP="009F6E6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61D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Сільський голова                                                              Тетяна ГОНЧАРУК</w:t>
      </w:r>
    </w:p>
    <w:p w14:paraId="6370FB25" w14:textId="77777777" w:rsidR="00A86A94" w:rsidRDefault="00A86A94" w:rsidP="00E61D41">
      <w:pPr>
        <w:widowControl/>
        <w:ind w:left="7446" w:firstLine="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bookmarkStart w:id="0" w:name="_Hlk64899742"/>
    </w:p>
    <w:p w14:paraId="707D20A8" w14:textId="77777777" w:rsidR="00A86A94" w:rsidRDefault="00A86A94" w:rsidP="00E61D41">
      <w:pPr>
        <w:widowControl/>
        <w:ind w:left="7446" w:firstLine="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3612F043" w14:textId="77777777" w:rsidR="00A86A94" w:rsidRDefault="00A86A94" w:rsidP="00E61D41">
      <w:pPr>
        <w:widowControl/>
        <w:ind w:left="7446" w:firstLine="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54C1831F" w14:textId="77777777" w:rsidR="00A86A94" w:rsidRDefault="00A86A94" w:rsidP="00E61D41">
      <w:pPr>
        <w:widowControl/>
        <w:ind w:left="7446" w:firstLine="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3663C541" w14:textId="6AA5723B" w:rsidR="00A86A94" w:rsidRDefault="00A86A94" w:rsidP="009F6E62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681C32CC" w14:textId="77777777" w:rsidR="009F6E62" w:rsidRDefault="009F6E62" w:rsidP="009F6E62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2358C944" w14:textId="77777777" w:rsidR="00A86A94" w:rsidRDefault="00A86A94" w:rsidP="00E61D41">
      <w:pPr>
        <w:widowControl/>
        <w:ind w:left="7446" w:firstLine="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74476022" w14:textId="2C9320A9" w:rsidR="00E61D41" w:rsidRPr="00E61D41" w:rsidRDefault="00E61D41" w:rsidP="00E61D41">
      <w:pPr>
        <w:widowControl/>
        <w:ind w:left="7446" w:firstLine="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</w:t>
      </w:r>
    </w:p>
    <w:p w14:paraId="713FE3F2" w14:textId="77777777" w:rsidR="00E61D41" w:rsidRPr="00E61D41" w:rsidRDefault="00E61D41" w:rsidP="00E61D41">
      <w:pPr>
        <w:widowControl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ЗАТВЕРДЖЕНО</w:t>
      </w:r>
    </w:p>
    <w:p w14:paraId="3B18B4D3" w14:textId="77777777" w:rsidR="00E61D41" w:rsidRPr="00E61D41" w:rsidRDefault="00E61D41" w:rsidP="00E61D41">
      <w:pPr>
        <w:widowControl/>
        <w:ind w:left="60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Рішенням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сесії </w:t>
      </w:r>
      <w:proofErr w:type="spellStart"/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Білокриницької</w:t>
      </w:r>
      <w:proofErr w:type="spellEnd"/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сільської ради</w:t>
      </w:r>
    </w:p>
    <w:p w14:paraId="3DDDCA82" w14:textId="6BF2CF69" w:rsidR="00E61D41" w:rsidRPr="00E61D41" w:rsidRDefault="00E61D41" w:rsidP="00E61D41">
      <w:pPr>
        <w:widowControl/>
        <w:ind w:left="609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«</w:t>
      </w:r>
      <w:r w:rsidR="009F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04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» </w:t>
      </w:r>
      <w:r w:rsidR="009F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березня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2021 року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 </w:t>
      </w:r>
      <w:r w:rsidRPr="00E61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№</w:t>
      </w:r>
      <w:r w:rsidR="009F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92</w:t>
      </w:r>
    </w:p>
    <w:p w14:paraId="08986258" w14:textId="77777777" w:rsidR="00C3326A" w:rsidRPr="008C2548" w:rsidRDefault="00C3326A" w:rsidP="00C332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Hlk64898462"/>
      <w:bookmarkEnd w:id="0"/>
    </w:p>
    <w:p w14:paraId="189D3EE5" w14:textId="77777777" w:rsidR="005C0C6C" w:rsidRDefault="001F1B12" w:rsidP="00C332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Програма</w:t>
      </w:r>
      <w:proofErr w:type="spellEnd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AC76E7A" w14:textId="220B783C" w:rsidR="00785E9B" w:rsidRPr="00C3326A" w:rsidRDefault="005C0C6C" w:rsidP="00C332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="001F1B12"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озвитку</w:t>
      </w:r>
      <w:proofErr w:type="spellEnd"/>
      <w:r w:rsidR="001F1B12"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туризму </w:t>
      </w:r>
    </w:p>
    <w:p w14:paraId="4FE647BD" w14:textId="77777777" w:rsidR="00EA22E4" w:rsidRPr="00C3326A" w:rsidRDefault="00EA22E4" w:rsidP="00C332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Білокриницької</w:t>
      </w:r>
      <w:proofErr w:type="spellEnd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територіальної</w:t>
      </w:r>
      <w:proofErr w:type="spellEnd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громади</w:t>
      </w:r>
      <w:proofErr w:type="spellEnd"/>
    </w:p>
    <w:p w14:paraId="505AFC98" w14:textId="77777777" w:rsidR="001F1B12" w:rsidRPr="00C3326A" w:rsidRDefault="001F1B12" w:rsidP="00C332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32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2021-2023 роки</w:t>
      </w:r>
      <w:bookmarkEnd w:id="1"/>
    </w:p>
    <w:p w14:paraId="365F7E81" w14:textId="3136620D" w:rsidR="004E79BF" w:rsidRDefault="004E79B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/>
        </w:rPr>
      </w:pPr>
    </w:p>
    <w:p w14:paraId="79F3B685" w14:textId="77777777" w:rsidR="000714D2" w:rsidRPr="000714D2" w:rsidRDefault="000714D2" w:rsidP="000714D2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</w:pPr>
      <w:r w:rsidRPr="000714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uk-UA"/>
        </w:rPr>
        <w:t>І. Аналіз нормативно-правової бази</w:t>
      </w:r>
    </w:p>
    <w:p w14:paraId="15AE12BE" w14:textId="77777777" w:rsidR="000714D2" w:rsidRPr="001230AD" w:rsidRDefault="000714D2" w:rsidP="000714D2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211B167" w14:textId="77777777" w:rsidR="000714D2" w:rsidRPr="000714D2" w:rsidRDefault="000714D2" w:rsidP="000714D2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1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Нормативно-правову основу розробки Програми складають Закони України «Про місцеве самоврядування в Україні» та «Про туризм». </w:t>
      </w:r>
    </w:p>
    <w:p w14:paraId="0BCFA6F8" w14:textId="77777777" w:rsidR="000714D2" w:rsidRPr="000714D2" w:rsidRDefault="000714D2" w:rsidP="000714D2">
      <w:pPr>
        <w:widowControl/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4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Практичну регуляцію діяльності об’єктів туристичної інфраструктури, основні напрямки діяльності щодо поширення інформації про туристичний потенціал визначають Розпорядження Кабінету Міністрів України від 16 березня 2017 р. № 168-р «Про схвалення Стратегії розвитку туризму та курортів на період до 2026 року»; Постанова Кабінету Міністрів України від 3 липня 2013 р. №740 «Про затвердження Порядку доведення до споживачів інформації про вид об’єкта туристичної інфраструктури та його категорію» (зі змінами). </w:t>
      </w:r>
    </w:p>
    <w:p w14:paraId="384536CF" w14:textId="77777777" w:rsidR="000714D2" w:rsidRPr="000714D2" w:rsidRDefault="000714D2" w:rsidP="000714D2">
      <w:pPr>
        <w:spacing w:line="276" w:lineRule="auto"/>
        <w:ind w:firstLine="709"/>
        <w:jc w:val="both"/>
        <w:rPr>
          <w:rStyle w:val="fontstyle01"/>
          <w:rFonts w:ascii="Times New Roman" w:hAnsi="Times New Roman"/>
          <w:color w:val="000000" w:themeColor="text1"/>
          <w:lang w:val="uk-UA"/>
        </w:rPr>
      </w:pPr>
      <w:r w:rsidRPr="000714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Програму розвитку туризму </w:t>
      </w:r>
      <w:proofErr w:type="spellStart"/>
      <w:r w:rsidRPr="000714D2">
        <w:rPr>
          <w:rFonts w:ascii="Times New Roman" w:hAnsi="Times New Roman"/>
          <w:color w:val="000000" w:themeColor="text1"/>
          <w:sz w:val="28"/>
          <w:szCs w:val="28"/>
          <w:lang w:val="uk-UA"/>
        </w:rPr>
        <w:t>Білокриницької</w:t>
      </w:r>
      <w:proofErr w:type="spellEnd"/>
      <w:r w:rsidRPr="000714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територіальної громад на 2021-2023 роки розроблено на підставі</w:t>
      </w:r>
      <w:r w:rsidRPr="000714D2">
        <w:rPr>
          <w:rStyle w:val="fontstyle01"/>
          <w:rFonts w:ascii="Times New Roman" w:hAnsi="Times New Roman"/>
          <w:color w:val="000000" w:themeColor="text1"/>
          <w:lang w:val="uk-UA"/>
        </w:rPr>
        <w:t xml:space="preserve"> стратегії розвитку Рівненської області на період до 2027 року, схваленої розпорядженням голови облдержадміністрації від 28 грудня 2019 року № 1098 та затвердженої рішенням обласної ради від 13 березня 2020 року № 1618, Стратегії розвитку туризму та рекреації в Рівненській області на період до 2027 року, схваленої розпорядженням голови облдержадміністрації від 28 травня 2020 року № 325.</w:t>
      </w:r>
      <w:r w:rsidRPr="000714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розпорядження голови обласної державної адміністрації від 16 грудня 2020року № 778  «Про Програму розвитку туризму в Рівненській області на 2021-2023 роки»</w:t>
      </w:r>
    </w:p>
    <w:p w14:paraId="52547E50" w14:textId="77777777" w:rsidR="000714D2" w:rsidRPr="000714D2" w:rsidRDefault="000714D2" w:rsidP="000714D2">
      <w:pPr>
        <w:widowControl/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14:paraId="299E23DE" w14:textId="7A20B150" w:rsidR="000714D2" w:rsidRPr="000714D2" w:rsidRDefault="000714D2" w:rsidP="000714D2">
      <w:pPr>
        <w:spacing w:line="276" w:lineRule="auto"/>
        <w:ind w:left="7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ІІ. </w:t>
      </w:r>
      <w:proofErr w:type="spellStart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Загальні</w:t>
      </w:r>
      <w:proofErr w:type="spellEnd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положення</w:t>
      </w:r>
      <w:proofErr w:type="spellEnd"/>
    </w:p>
    <w:p w14:paraId="32D2D03E" w14:textId="77777777" w:rsidR="000714D2" w:rsidRPr="000714D2" w:rsidRDefault="000714D2" w:rsidP="000714D2">
      <w:pPr>
        <w:pStyle w:val="a5"/>
        <w:widowControl/>
        <w:numPr>
          <w:ilvl w:val="0"/>
          <w:numId w:val="1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Одним з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пріоритетів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Білокриницької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пунктах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передбачена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затвердженій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Білокриницької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</w:p>
    <w:p w14:paraId="5C8BB722" w14:textId="77777777" w:rsidR="000714D2" w:rsidRPr="000714D2" w:rsidRDefault="000714D2" w:rsidP="000714D2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2021- 2023 роки. </w:t>
      </w:r>
    </w:p>
    <w:p w14:paraId="76FD80AB" w14:textId="77777777" w:rsidR="000714D2" w:rsidRPr="000714D2" w:rsidRDefault="000714D2" w:rsidP="000714D2">
      <w:pPr>
        <w:pStyle w:val="a5"/>
        <w:widowControl/>
        <w:numPr>
          <w:ilvl w:val="0"/>
          <w:numId w:val="15"/>
        </w:numPr>
        <w:spacing w:after="16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туристичної галузі в територіальній громаді істотно вплине на такі сектори економіки, сільське господарство, транспорт, торгівля, зв’язок, будівництво, і є одним з перспективних напрямків структурної перебудови </w:t>
      </w:r>
      <w:r w:rsidRPr="000714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економіки. </w:t>
      </w: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У свою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важливими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факторами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природнорекреаційний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історико-культурний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3E20D8" w14:textId="77777777" w:rsidR="000714D2" w:rsidRPr="000714D2" w:rsidRDefault="000714D2" w:rsidP="000714D2">
      <w:pPr>
        <w:pStyle w:val="a5"/>
        <w:widowControl/>
        <w:numPr>
          <w:ilvl w:val="0"/>
          <w:numId w:val="1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передбачається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комплексу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туризму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нарощування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розширеного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в’їзного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туризму,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рекламно-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7F0112" w14:textId="77777777" w:rsidR="000714D2" w:rsidRPr="000714D2" w:rsidRDefault="000714D2" w:rsidP="000714D2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B58DA18" w14:textId="77777777" w:rsidR="000714D2" w:rsidRPr="000714D2" w:rsidRDefault="000714D2" w:rsidP="000714D2">
      <w:pPr>
        <w:pStyle w:val="a5"/>
        <w:widowControl/>
        <w:spacing w:after="160" w:line="276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14D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ІІІ. Мета та основні завдання Програми</w:t>
      </w:r>
    </w:p>
    <w:p w14:paraId="2AB39A4B" w14:textId="77777777" w:rsidR="000714D2" w:rsidRPr="000714D2" w:rsidRDefault="000714D2" w:rsidP="000714D2">
      <w:pPr>
        <w:spacing w:before="240" w:after="240" w:line="276" w:lineRule="auto"/>
        <w:ind w:left="432" w:firstLine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14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Формування конкурентоспроможного туристичного продукту </w:t>
      </w:r>
      <w:r w:rsidRPr="000714D2">
        <w:rPr>
          <w:rFonts w:ascii="Times New Roman" w:hAnsi="Times New Roman" w:cs="Times New Roman"/>
          <w:sz w:val="28"/>
          <w:szCs w:val="28"/>
          <w:lang w:val="uk-UA"/>
        </w:rPr>
        <w:t>здатного максимально задовольнити туристичні потреби населення</w:t>
      </w:r>
      <w:r w:rsidRPr="000714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714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</w:t>
      </w:r>
      <w:proofErr w:type="spellEnd"/>
      <w:r w:rsidRPr="000714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територіальної громади</w:t>
      </w:r>
      <w:r w:rsidRPr="000714D2">
        <w:rPr>
          <w:rFonts w:ascii="Times New Roman" w:hAnsi="Times New Roman" w:cs="Times New Roman"/>
          <w:sz w:val="28"/>
          <w:szCs w:val="28"/>
          <w:lang w:val="uk-UA"/>
        </w:rPr>
        <w:t xml:space="preserve"> за умови збереження екологічної рівноваги та історико-культурної спадщини</w:t>
      </w:r>
      <w:r w:rsidRPr="000714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збільшення туристичних потоків, а також перетворення галузі туризму в стабільне і вагоме джерело надходжень бюджету </w:t>
      </w:r>
      <w:proofErr w:type="spellStart"/>
      <w:r w:rsidRPr="000714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</w:t>
      </w:r>
      <w:proofErr w:type="spellEnd"/>
      <w:r w:rsidRPr="000714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територіальної громади шляхом залучення інвестицій та збільшення кількості зайнятих у галузі.</w:t>
      </w:r>
    </w:p>
    <w:p w14:paraId="47330557" w14:textId="77777777" w:rsidR="000714D2" w:rsidRPr="000714D2" w:rsidRDefault="000714D2" w:rsidP="000714D2">
      <w:pPr>
        <w:spacing w:before="240" w:after="24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714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III</w:t>
      </w:r>
      <w:r w:rsidRPr="000714D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</w:t>
      </w:r>
      <w:r w:rsidRPr="000714D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Метою Програми є:</w:t>
      </w:r>
    </w:p>
    <w:p w14:paraId="0B60A922" w14:textId="77777777" w:rsidR="000714D2" w:rsidRPr="000714D2" w:rsidRDefault="000714D2" w:rsidP="000714D2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16453E9E" w14:textId="77777777" w:rsidR="000714D2" w:rsidRPr="000714D2" w:rsidRDefault="000714D2" w:rsidP="000714D2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7FEEE3" w14:textId="77777777" w:rsidR="000714D2" w:rsidRPr="000714D2" w:rsidRDefault="000714D2" w:rsidP="000714D2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популяризація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актуалізація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туризму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краю. </w:t>
      </w:r>
    </w:p>
    <w:p w14:paraId="3BFC8336" w14:textId="77777777" w:rsidR="000714D2" w:rsidRPr="000714D2" w:rsidRDefault="000714D2" w:rsidP="000714D2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зміцнення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матеріальної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туризму; </w:t>
      </w:r>
    </w:p>
    <w:p w14:paraId="6142751F" w14:textId="77777777" w:rsidR="000714D2" w:rsidRPr="000714D2" w:rsidRDefault="000714D2" w:rsidP="000714D2">
      <w:pPr>
        <w:pStyle w:val="a5"/>
        <w:widowControl/>
        <w:tabs>
          <w:tab w:val="left" w:pos="567"/>
        </w:tabs>
        <w:spacing w:after="160" w:line="276" w:lineRule="auto"/>
        <w:ind w:left="567" w:hanging="14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рекреаційних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історико-культурної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4D94238B" w14:textId="77777777" w:rsidR="000714D2" w:rsidRPr="000714D2" w:rsidRDefault="000714D2" w:rsidP="000714D2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рекламно-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472459F2" w14:textId="77777777" w:rsidR="000714D2" w:rsidRPr="000714D2" w:rsidRDefault="000714D2" w:rsidP="000714D2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ремесел; </w:t>
      </w:r>
    </w:p>
    <w:p w14:paraId="589B7992" w14:textId="77777777" w:rsidR="000714D2" w:rsidRPr="000714D2" w:rsidRDefault="000714D2" w:rsidP="000714D2">
      <w:pPr>
        <w:pStyle w:val="a5"/>
        <w:widowControl/>
        <w:spacing w:after="160" w:line="276" w:lineRule="auto"/>
        <w:ind w:left="43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A0C776" w14:textId="6BE0BD11" w:rsidR="000714D2" w:rsidRPr="000714D2" w:rsidRDefault="000714D2" w:rsidP="000714D2">
      <w:pPr>
        <w:spacing w:line="276" w:lineRule="auto"/>
        <w:ind w:left="7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b/>
          <w:sz w:val="28"/>
          <w:szCs w:val="28"/>
        </w:rPr>
        <w:t>IV</w:t>
      </w:r>
      <w:r w:rsidRPr="000714D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Напрямки </w:t>
      </w:r>
      <w:proofErr w:type="spellStart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реалізації</w:t>
      </w:r>
      <w:proofErr w:type="spellEnd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</w:p>
    <w:p w14:paraId="5010C3D2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маршрутів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2E3533D8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оптимального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туризму в ТГ;</w:t>
      </w:r>
    </w:p>
    <w:p w14:paraId="4A12B62B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з благоустрою по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встановленню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щитів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туризму на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вказують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відстань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до них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вказівників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мовах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4AE35B26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поліграфічної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альманахів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довідників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путівників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буклетів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картосхем),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сувенірів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відео-рекламнопрезентаційних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показу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екскурсійного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F2C9E3E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промислів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майстерень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виставок-ярмарків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семінарів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майстрів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ремесел; </w:t>
      </w:r>
    </w:p>
    <w:p w14:paraId="3DBF7768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Очікувані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туристичній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як виду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здійснюватиметься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раціональне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природнозаповідних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історико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– культурно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одночасним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збереженням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відновленням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554A42C" w14:textId="77777777" w:rsidR="000714D2" w:rsidRPr="000714D2" w:rsidRDefault="000714D2" w:rsidP="000714D2">
      <w:pPr>
        <w:pStyle w:val="a5"/>
        <w:spacing w:line="276" w:lineRule="auto"/>
        <w:ind w:left="432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даній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Програмі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задіяна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гендерна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складова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сільських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садиб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задіяно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чоловіки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Надавачами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виробники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сувенірної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майстри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по дереву,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лозоплетіння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малярства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вишиванки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екскурсоводи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носії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іноземних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фольклору,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чоловіки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облаштовані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для людей з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обмежиними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можливостями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B2B328E" w14:textId="77777777" w:rsidR="000714D2" w:rsidRPr="000714D2" w:rsidRDefault="000714D2" w:rsidP="000714D2">
      <w:pPr>
        <w:pStyle w:val="a5"/>
        <w:spacing w:line="276" w:lineRule="auto"/>
        <w:ind w:left="432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8AD745" w14:textId="7566F1FC" w:rsidR="000714D2" w:rsidRPr="000714D2" w:rsidRDefault="000714D2" w:rsidP="000714D2">
      <w:pPr>
        <w:pStyle w:val="a5"/>
        <w:spacing w:line="276" w:lineRule="auto"/>
        <w:ind w:left="432" w:firstLine="28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b/>
          <w:sz w:val="28"/>
          <w:szCs w:val="28"/>
        </w:rPr>
        <w:t>V</w:t>
      </w:r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Реалізація</w:t>
      </w:r>
      <w:proofErr w:type="spellEnd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забезпечить</w:t>
      </w:r>
      <w:proofErr w:type="spellEnd"/>
    </w:p>
    <w:p w14:paraId="4C7139C6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фермерських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господарств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приватних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підприємців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надавати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туристам; </w:t>
      </w:r>
    </w:p>
    <w:p w14:paraId="2EC23440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доступності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позитивного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іміджу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Білокриницької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ТГ; </w:t>
      </w:r>
    </w:p>
    <w:p w14:paraId="6B5B547D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29C52610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привабливості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пристосованості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до потреб туризму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історико-культурної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B5207F6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садиб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наданню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туристичних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5081B2B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туристів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у них здорового способу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культурно – спортивного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дозвілля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307204F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підтримка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промислів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ремесел; </w:t>
      </w:r>
    </w:p>
    <w:p w14:paraId="436F2874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рекламно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туризму та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інвесторів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1A6FB500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до бюджета. </w:t>
      </w:r>
    </w:p>
    <w:p w14:paraId="4A7F76B9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2B7B63" w14:textId="06364AD0" w:rsidR="000714D2" w:rsidRPr="000714D2" w:rsidRDefault="000714D2" w:rsidP="000714D2">
      <w:pPr>
        <w:pStyle w:val="a5"/>
        <w:spacing w:line="276" w:lineRule="auto"/>
        <w:ind w:left="43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V</w:t>
      </w:r>
      <w:r w:rsidRPr="000714D2">
        <w:rPr>
          <w:rFonts w:ascii="Times New Roman" w:hAnsi="Times New Roman" w:cs="Times New Roman"/>
          <w:b/>
          <w:sz w:val="28"/>
          <w:szCs w:val="28"/>
        </w:rPr>
        <w:t>I</w:t>
      </w:r>
      <w:r w:rsidRPr="000714D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Фінансове</w:t>
      </w:r>
      <w:proofErr w:type="spellEnd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забезпечення</w:t>
      </w:r>
      <w:proofErr w:type="spellEnd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</w:p>
    <w:p w14:paraId="79293810" w14:textId="77777777" w:rsidR="000714D2" w:rsidRPr="000714D2" w:rsidRDefault="000714D2" w:rsidP="000714D2">
      <w:pPr>
        <w:pStyle w:val="a5"/>
        <w:spacing w:line="276" w:lineRule="auto"/>
        <w:ind w:left="432" w:firstLine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сільському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бюджеті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позабюджетних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та за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заборонених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58B95F" w14:textId="77777777" w:rsidR="000714D2" w:rsidRPr="000714D2" w:rsidRDefault="000714D2" w:rsidP="000714D2">
      <w:pPr>
        <w:pStyle w:val="a5"/>
        <w:spacing w:line="276" w:lineRule="auto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Розпорядники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виконавці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передбачають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видатки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складання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бюджету на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відповідний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наявних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14D2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0714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CC3939" w14:textId="77777777" w:rsidR="000714D2" w:rsidRDefault="000714D2" w:rsidP="000714D2">
      <w:pPr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28BBECAA" w14:textId="77777777" w:rsidR="000714D2" w:rsidRDefault="000714D2" w:rsidP="000714D2">
      <w:pPr>
        <w:ind w:left="6096"/>
        <w:rPr>
          <w:rFonts w:ascii="Times New Roman" w:hAnsi="Times New Roman" w:cs="Times New Roman"/>
          <w:sz w:val="24"/>
          <w:szCs w:val="24"/>
          <w:lang w:val="uk-UA"/>
        </w:rPr>
      </w:pPr>
    </w:p>
    <w:p w14:paraId="75133349" w14:textId="145FE747" w:rsidR="000714D2" w:rsidRPr="000714D2" w:rsidRDefault="000714D2" w:rsidP="005C0C6C">
      <w:pPr>
        <w:ind w:left="7655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bookmarkStart w:id="2" w:name="_GoBack"/>
      <w:r w:rsidRPr="000714D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Додаток</w:t>
      </w:r>
    </w:p>
    <w:p w14:paraId="7CA371E0" w14:textId="68D168AE" w:rsidR="000714D2" w:rsidRPr="000714D2" w:rsidRDefault="000714D2" w:rsidP="005C0C6C">
      <w:pPr>
        <w:ind w:left="7655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</w:t>
      </w:r>
      <w:r w:rsidRPr="000714D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о програми </w:t>
      </w:r>
    </w:p>
    <w:bookmarkEnd w:id="2"/>
    <w:p w14:paraId="2554900B" w14:textId="77777777" w:rsidR="000714D2" w:rsidRDefault="000714D2" w:rsidP="000714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826BE9A" w14:textId="77777777" w:rsidR="000714D2" w:rsidRPr="00EE6824" w:rsidRDefault="000714D2" w:rsidP="000714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6824"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</w:p>
    <w:p w14:paraId="416AF429" w14:textId="77777777" w:rsidR="000714D2" w:rsidRDefault="000714D2" w:rsidP="000714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6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реалізації </w:t>
      </w:r>
      <w:proofErr w:type="spellStart"/>
      <w:r w:rsidRPr="00EE6824">
        <w:rPr>
          <w:rFonts w:ascii="Times New Roman" w:hAnsi="Times New Roman" w:cs="Times New Roman"/>
          <w:b/>
          <w:sz w:val="24"/>
          <w:szCs w:val="24"/>
          <w:lang w:val="uk-UA"/>
        </w:rPr>
        <w:t>Прорами</w:t>
      </w:r>
      <w:proofErr w:type="spellEnd"/>
      <w:r w:rsidRPr="00EE6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розвитку туризму </w:t>
      </w:r>
    </w:p>
    <w:p w14:paraId="3F25970C" w14:textId="5D0BE78E" w:rsidR="000714D2" w:rsidRDefault="000714D2" w:rsidP="000714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E6824">
        <w:rPr>
          <w:rFonts w:ascii="Times New Roman" w:hAnsi="Times New Roman" w:cs="Times New Roman"/>
          <w:b/>
          <w:sz w:val="24"/>
          <w:szCs w:val="24"/>
          <w:lang w:val="uk-UA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перід</w:t>
      </w:r>
      <w:proofErr w:type="spellEnd"/>
      <w:r w:rsidRPr="00EE68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2023</w:t>
      </w:r>
      <w:r w:rsidR="009F6E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E6824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14:paraId="20206C25" w14:textId="77777777" w:rsidR="000714D2" w:rsidRDefault="000714D2" w:rsidP="000714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12"/>
        <w:gridCol w:w="4445"/>
        <w:gridCol w:w="992"/>
        <w:gridCol w:w="1984"/>
        <w:gridCol w:w="1843"/>
      </w:tblGrid>
      <w:tr w:rsidR="000714D2" w14:paraId="1E872F84" w14:textId="77777777" w:rsidTr="000714D2">
        <w:trPr>
          <w:trHeight w:val="345"/>
        </w:trPr>
        <w:tc>
          <w:tcPr>
            <w:tcW w:w="512" w:type="dxa"/>
            <w:vMerge w:val="restart"/>
            <w:vAlign w:val="center"/>
          </w:tcPr>
          <w:p w14:paraId="16E1978B" w14:textId="77777777" w:rsidR="000714D2" w:rsidRPr="00EE6824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6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445" w:type="dxa"/>
            <w:vMerge w:val="restart"/>
            <w:vAlign w:val="center"/>
          </w:tcPr>
          <w:p w14:paraId="302CE7A6" w14:textId="77777777" w:rsidR="000714D2" w:rsidRPr="009F6E6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992" w:type="dxa"/>
            <w:vMerge w:val="restart"/>
            <w:vAlign w:val="center"/>
          </w:tcPr>
          <w:p w14:paraId="61B12AD2" w14:textId="77777777" w:rsidR="000714D2" w:rsidRPr="00EE6824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6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984" w:type="dxa"/>
            <w:vMerge w:val="restart"/>
            <w:vAlign w:val="center"/>
          </w:tcPr>
          <w:p w14:paraId="1CE140FE" w14:textId="77777777" w:rsidR="000714D2" w:rsidRPr="00EE6824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6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843" w:type="dxa"/>
            <w:vMerge w:val="restart"/>
            <w:vAlign w:val="center"/>
          </w:tcPr>
          <w:p w14:paraId="3DF29692" w14:textId="77777777" w:rsidR="000714D2" w:rsidRPr="00EE6824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E6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Джерело фінансування</w:t>
            </w:r>
          </w:p>
        </w:tc>
      </w:tr>
      <w:tr w:rsidR="000714D2" w14:paraId="450192E9" w14:textId="77777777" w:rsidTr="00AC0B99">
        <w:trPr>
          <w:trHeight w:val="345"/>
        </w:trPr>
        <w:tc>
          <w:tcPr>
            <w:tcW w:w="512" w:type="dxa"/>
            <w:vMerge/>
          </w:tcPr>
          <w:p w14:paraId="43369193" w14:textId="77777777" w:rsidR="000714D2" w:rsidRPr="00EE6824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45" w:type="dxa"/>
            <w:vMerge/>
          </w:tcPr>
          <w:p w14:paraId="1F7B9E34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6470F6A6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5CB31C43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14:paraId="5E502E00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714D2" w:rsidRPr="005C0C6C" w14:paraId="52A4146A" w14:textId="77777777" w:rsidTr="00AC0B99">
        <w:tc>
          <w:tcPr>
            <w:tcW w:w="512" w:type="dxa"/>
          </w:tcPr>
          <w:p w14:paraId="686DD779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F02D33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45" w:type="dxa"/>
          </w:tcPr>
          <w:p w14:paraId="1102DB1E" w14:textId="77777777" w:rsidR="000714D2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Культурно-пізнавальний туризм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Вивчення та облаштування маршрутів та осередків, пов’язаних із історичними постатями, визначними подіями та культурною спадщиною</w:t>
            </w:r>
          </w:p>
          <w:p w14:paraId="359CBC5B" w14:textId="77777777" w:rsidR="000714D2" w:rsidRPr="001D750E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58F2BA36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2DE8A92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2021-2023рр.</w:t>
            </w:r>
          </w:p>
          <w:p w14:paraId="5E7704E3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703706E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9FCD804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3F80A29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DAAB8B7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97CF4A8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9C2C95D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2021-2023рр.</w:t>
            </w:r>
          </w:p>
          <w:p w14:paraId="40B3EA0C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126B28A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49C2C5A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65E58D5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C829893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9243E41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E753162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0F45A69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93D57DF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160C4CD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86ACE8D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482EE83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E04D1A8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9EC1178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066F0C1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82ECC84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668CAD5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D3A0FEA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781693C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AAF0BD9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86650A2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83037A9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CD41BF1" w14:textId="77777777" w:rsidR="000714D2" w:rsidRDefault="000714D2" w:rsidP="00AC0B9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2021-2023рр</w:t>
            </w:r>
          </w:p>
        </w:tc>
        <w:tc>
          <w:tcPr>
            <w:tcW w:w="1984" w:type="dxa"/>
            <w:vMerge w:val="restart"/>
          </w:tcPr>
          <w:p w14:paraId="7040ECAD" w14:textId="77777777" w:rsidR="000714D2" w:rsidRDefault="000714D2" w:rsidP="00AC0B99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C49A11" w14:textId="77777777" w:rsidR="000714D2" w:rsidRDefault="000714D2" w:rsidP="00AC0B99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574355" w14:textId="77777777" w:rsidR="000714D2" w:rsidRDefault="000714D2" w:rsidP="00AC0B99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BF06D2" w14:textId="77777777" w:rsidR="000714D2" w:rsidRDefault="000714D2" w:rsidP="00AC0B99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сім</w:t>
            </w: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ї, молоді, спорту, культури та туризму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Білокриницької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ради.</w:t>
            </w:r>
          </w:p>
          <w:p w14:paraId="63757231" w14:textId="77777777" w:rsidR="000714D2" w:rsidRDefault="000714D2" w:rsidP="00AC0B99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AA9BB7" w14:textId="77777777" w:rsidR="000714D2" w:rsidRDefault="000714D2" w:rsidP="00AC0B99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24941F" w14:textId="77777777" w:rsidR="000714D2" w:rsidRPr="00562A86" w:rsidRDefault="000714D2" w:rsidP="00AC0B99">
            <w:pPr>
              <w:spacing w:line="360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533E87" w14:textId="77777777" w:rsidR="000714D2" w:rsidRDefault="000714D2" w:rsidP="00AC0B99">
            <w:pPr>
              <w:spacing w:line="360" w:lineRule="auto"/>
              <w:ind w:left="36" w:right="-1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«Культурно-</w:t>
            </w:r>
            <w:proofErr w:type="spellStart"/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дозвіллевого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2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592B601" w14:textId="77777777" w:rsidR="000714D2" w:rsidRDefault="000714D2" w:rsidP="00AC0B99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85D32F6" w14:textId="77777777" w:rsidR="000714D2" w:rsidRDefault="000714D2" w:rsidP="00AC0B99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A78BEBD" w14:textId="77777777" w:rsidR="000714D2" w:rsidRDefault="000714D2" w:rsidP="00AC0B99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53A3B6B" w14:textId="77777777" w:rsidR="000714D2" w:rsidRDefault="000714D2" w:rsidP="00AC0B99">
            <w:pPr>
              <w:spacing w:line="360" w:lineRule="auto"/>
              <w:ind w:left="-14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6063AC7" w14:textId="77777777" w:rsidR="000714D2" w:rsidRDefault="000714D2" w:rsidP="00AC0B99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9EC5C" w14:textId="77777777" w:rsidR="000714D2" w:rsidRDefault="000714D2" w:rsidP="00AC0B99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BD803A" w14:textId="77777777" w:rsidR="000714D2" w:rsidRDefault="000714D2" w:rsidP="00AC0B99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ED261D" w14:textId="77777777" w:rsidR="000714D2" w:rsidRDefault="000714D2" w:rsidP="00AC0B99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DBCF5F" w14:textId="77777777" w:rsidR="000714D2" w:rsidRDefault="000714D2" w:rsidP="00AC0B99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AF491F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Керівники клубних закладів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9533C2" w14:textId="77777777" w:rsidR="000714D2" w:rsidRDefault="000714D2" w:rsidP="00AC0B99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EF58F1" w14:textId="77777777" w:rsidR="000714D2" w:rsidRDefault="000714D2" w:rsidP="00AC0B99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33E99F" w14:textId="77777777" w:rsidR="000714D2" w:rsidRPr="00981344" w:rsidRDefault="000714D2" w:rsidP="00AC0B99">
            <w:pPr>
              <w:spacing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964AF5" w14:textId="77777777" w:rsidR="000714D2" w:rsidRPr="00562A86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бібліотек. </w:t>
            </w:r>
          </w:p>
        </w:tc>
        <w:tc>
          <w:tcPr>
            <w:tcW w:w="1843" w:type="dxa"/>
            <w:vMerge w:val="restart"/>
          </w:tcPr>
          <w:p w14:paraId="0AC67CD0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BAEE8F0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02B33EE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473E4F1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D229CDC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3E88BAD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B436382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34D4F37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7E4B46A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BEA32A1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Передбачені кошти сільського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2A52872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0D9513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1CD6E4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6CAC44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197277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48F6D3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31F450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767DF9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CB9C49" w14:textId="77777777" w:rsidR="000714D2" w:rsidRDefault="000714D2" w:rsidP="00AC0B99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378CC3" w14:textId="77777777" w:rsidR="000714D2" w:rsidRDefault="000714D2" w:rsidP="00AC0B99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1FF26D" w14:textId="77777777" w:rsidR="000714D2" w:rsidRPr="00C012FF" w:rsidRDefault="000714D2" w:rsidP="00AC0B99">
            <w:pPr>
              <w:spacing w:line="360" w:lineRule="auto"/>
              <w:ind w:left="-114" w:right="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Позабюджетні кошти та за рахунок інших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джерел  не заборонених чинним законодавством</w:t>
            </w:r>
          </w:p>
        </w:tc>
      </w:tr>
      <w:tr w:rsidR="000714D2" w:rsidRPr="005C0C6C" w14:paraId="5D36EE7D" w14:textId="77777777" w:rsidTr="00AC0B99">
        <w:tc>
          <w:tcPr>
            <w:tcW w:w="512" w:type="dxa"/>
          </w:tcPr>
          <w:p w14:paraId="7BB01805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967F23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45" w:type="dxa"/>
            <w:vAlign w:val="center"/>
          </w:tcPr>
          <w:p w14:paraId="01983D5B" w14:textId="77777777" w:rsidR="000714D2" w:rsidRDefault="000714D2" w:rsidP="00AC0B99">
            <w:pPr>
              <w:ind w:lef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23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Відродження, збереження, розвиток і популяризація туризму </w:t>
            </w:r>
            <w:proofErr w:type="spellStart"/>
            <w:r w:rsidRPr="00123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Білокриницької</w:t>
            </w:r>
            <w:proofErr w:type="spellEnd"/>
            <w:r w:rsidRPr="00123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територіальної громади.</w:t>
            </w:r>
          </w:p>
          <w:p w14:paraId="48768527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</w:tcPr>
          <w:p w14:paraId="05DF12BF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9DEE5B4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571F0CB2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14D2" w:rsidRPr="005C0C6C" w14:paraId="7558BB9E" w14:textId="77777777" w:rsidTr="00AC0B99">
        <w:tc>
          <w:tcPr>
            <w:tcW w:w="512" w:type="dxa"/>
          </w:tcPr>
          <w:p w14:paraId="1F682BD8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66CFA9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399090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45" w:type="dxa"/>
          </w:tcPr>
          <w:p w14:paraId="1C6BBC0E" w14:textId="77777777" w:rsidR="000714D2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Організація та проведення конкурсів (на кращу національну кухню, на кращий туристичний квест, на кращий дворик, на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на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 кращи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й літній торгівельний майданчик</w:t>
            </w:r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6C1A3375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</w:tcPr>
          <w:p w14:paraId="44350F8E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2A2A4C2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74978F13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14D2" w:rsidRPr="005C0C6C" w14:paraId="39F3C221" w14:textId="77777777" w:rsidTr="00AC0B99">
        <w:tc>
          <w:tcPr>
            <w:tcW w:w="512" w:type="dxa"/>
          </w:tcPr>
          <w:p w14:paraId="68229601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E19D13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45" w:type="dxa"/>
          </w:tcPr>
          <w:p w14:paraId="1753AD48" w14:textId="77777777" w:rsidR="000714D2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Організація заходів до Всесвітнього дня туризму, нагородження представників сфери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002B72A9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</w:tcPr>
          <w:p w14:paraId="1DDA6628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E8DDF2D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03B7B6FD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14D2" w14:paraId="5D70E8B1" w14:textId="77777777" w:rsidTr="00AC0B99">
        <w:tc>
          <w:tcPr>
            <w:tcW w:w="512" w:type="dxa"/>
          </w:tcPr>
          <w:p w14:paraId="576B4AFF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28FEC4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C26EC9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45" w:type="dxa"/>
            <w:vAlign w:val="center"/>
          </w:tcPr>
          <w:p w14:paraId="3B20D6BB" w14:textId="77777777" w:rsidR="000714D2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Організація та проведення тренінгів для представників туристично-рекреаційної сфери (у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. для господарів приватних садиб та осіб, які займаються або  планують займатись сільським зеленим туризмом) фестивалів, тематичних ярмарок з метою розвитку туризму. Формування креативних туристичних продуктів (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фотозони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 інсталяції, тощо.</w:t>
            </w:r>
          </w:p>
          <w:p w14:paraId="75DAA93C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</w:tcPr>
          <w:p w14:paraId="609B52D0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1C4E4AE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3985CF5D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14D2" w:rsidRPr="005C0C6C" w14:paraId="53E0990F" w14:textId="77777777" w:rsidTr="00AC0B99">
        <w:tc>
          <w:tcPr>
            <w:tcW w:w="512" w:type="dxa"/>
          </w:tcPr>
          <w:p w14:paraId="4F9BBA32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42FF96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45" w:type="dxa"/>
          </w:tcPr>
          <w:p w14:paraId="3953D4CA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Підготовка й просування інвестиційних пропозицій зі створення та модернізації туристичних об’єктів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92" w:type="dxa"/>
            <w:vMerge/>
          </w:tcPr>
          <w:p w14:paraId="6017252B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72F9D003" w14:textId="77777777" w:rsidR="000714D2" w:rsidRPr="00981344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74AE0AC8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14D2" w:rsidRPr="005C0C6C" w14:paraId="288C2713" w14:textId="77777777" w:rsidTr="00AC0B99">
        <w:tc>
          <w:tcPr>
            <w:tcW w:w="512" w:type="dxa"/>
          </w:tcPr>
          <w:p w14:paraId="6A5CBEC5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0F821B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445" w:type="dxa"/>
          </w:tcPr>
          <w:p w14:paraId="04FF06ED" w14:textId="77777777" w:rsidR="000714D2" w:rsidRDefault="000714D2" w:rsidP="00AC0B99">
            <w:pPr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систематичного моніторингу та забезпечення  інформування  щодо розвитку туризму.</w:t>
            </w:r>
          </w:p>
          <w:p w14:paraId="46B95FA8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</w:tcPr>
          <w:p w14:paraId="50978B49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60C74336" w14:textId="77777777" w:rsidR="000714D2" w:rsidRPr="00981344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576A6AB3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14D2" w:rsidRPr="005C0C6C" w14:paraId="7D303310" w14:textId="77777777" w:rsidTr="00AC0B99">
        <w:tc>
          <w:tcPr>
            <w:tcW w:w="512" w:type="dxa"/>
          </w:tcPr>
          <w:p w14:paraId="23C3D9C6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863A8D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45" w:type="dxa"/>
          </w:tcPr>
          <w:p w14:paraId="578100D9" w14:textId="77777777" w:rsidR="000714D2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велоінфраструктури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території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Білокриницької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 з врахуванням </w:t>
            </w: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гендерної рівності (облаштування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велопарковок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станцій технічного самообслуговування велосипедів, інформаційних знаків,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біотуалетів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B0A6591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</w:tcPr>
          <w:p w14:paraId="28E73243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87FEBDD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6E88479D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14D2" w:rsidRPr="005C0C6C" w14:paraId="1835F5F9" w14:textId="77777777" w:rsidTr="00AC0B99">
        <w:tc>
          <w:tcPr>
            <w:tcW w:w="512" w:type="dxa"/>
          </w:tcPr>
          <w:p w14:paraId="3D23F5B5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95F533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445" w:type="dxa"/>
          </w:tcPr>
          <w:p w14:paraId="3EEC7434" w14:textId="77777777" w:rsidR="000714D2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Розробка та виготовлення туристичної карти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Білокриницької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032BE18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</w:tcPr>
          <w:p w14:paraId="05B351F9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B5C7A39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35C9C276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14D2" w:rsidRPr="005C0C6C" w14:paraId="004B6C55" w14:textId="77777777" w:rsidTr="00AC0B99">
        <w:trPr>
          <w:trHeight w:val="1026"/>
        </w:trPr>
        <w:tc>
          <w:tcPr>
            <w:tcW w:w="512" w:type="dxa"/>
          </w:tcPr>
          <w:p w14:paraId="692A0169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84FC94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445" w:type="dxa"/>
          </w:tcPr>
          <w:p w14:paraId="07DA6EAB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та виготовлення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презентаційного відео про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Білокриницьку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територіальну громаду.</w:t>
            </w:r>
          </w:p>
        </w:tc>
        <w:tc>
          <w:tcPr>
            <w:tcW w:w="992" w:type="dxa"/>
            <w:vMerge/>
          </w:tcPr>
          <w:p w14:paraId="61D452BD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976F47A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538DC1AA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14D2" w:rsidRPr="005C0C6C" w14:paraId="50C8BA3A" w14:textId="77777777" w:rsidTr="00AC0B99">
        <w:tc>
          <w:tcPr>
            <w:tcW w:w="512" w:type="dxa"/>
          </w:tcPr>
          <w:p w14:paraId="688796A0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AA563D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BB296C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45" w:type="dxa"/>
          </w:tcPr>
          <w:p w14:paraId="7830BDBE" w14:textId="77777777" w:rsidR="000714D2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Виготовлення та встановлення вказівників, інформаційних стендів до основних туристично-екскурсійних об’єктів, санітарних місць, закладів розміщення і харчування, транспортних вузлів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Білокриницької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громади.</w:t>
            </w:r>
          </w:p>
          <w:p w14:paraId="00EC13FE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</w:tcPr>
          <w:p w14:paraId="7BC7B563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786870F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3EF825A3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14D2" w:rsidRPr="005C0C6C" w14:paraId="71B4FD80" w14:textId="77777777" w:rsidTr="00AC0B99">
        <w:tc>
          <w:tcPr>
            <w:tcW w:w="512" w:type="dxa"/>
          </w:tcPr>
          <w:p w14:paraId="3F9D1F02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BB64B3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12D9C0" w14:textId="77777777" w:rsidR="000714D2" w:rsidRPr="001D750E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445" w:type="dxa"/>
          </w:tcPr>
          <w:p w14:paraId="6F3899D3" w14:textId="77777777" w:rsidR="000714D2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Виготовлення, розробка, придбання поліграфічної, рекламно-інформаційної, сувенірної продукції про туристичні можливості </w:t>
            </w:r>
            <w:proofErr w:type="spellStart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Білокриницької</w:t>
            </w:r>
            <w:proofErr w:type="spellEnd"/>
            <w:r w:rsidRPr="00123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громади.</w:t>
            </w:r>
          </w:p>
          <w:p w14:paraId="69723640" w14:textId="77777777" w:rsidR="000714D2" w:rsidRPr="001230AD" w:rsidRDefault="000714D2" w:rsidP="00AC0B99">
            <w:pPr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14:paraId="5D98262A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0FD0F32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773CC741" w14:textId="77777777" w:rsidR="000714D2" w:rsidRDefault="000714D2" w:rsidP="00AC0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252CADF" w14:textId="0D3D7673" w:rsidR="00C3326A" w:rsidRDefault="00C3326A" w:rsidP="00936C9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9F5DE6A" w14:textId="38624AAC" w:rsidR="00C3326A" w:rsidRDefault="00C3326A" w:rsidP="00936C97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DD76ADF" w14:textId="267129A0" w:rsidR="00A86A94" w:rsidRDefault="00493E5F" w:rsidP="00493E5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3" w:name="_Hlk64900423"/>
      <w:proofErr w:type="spellStart"/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Секретар</w:t>
      </w:r>
      <w:proofErr w:type="spellEnd"/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сільської</w:t>
      </w:r>
      <w:proofErr w:type="spellEnd"/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ради </w:t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ab/>
      </w:r>
      <w:proofErr w:type="spellStart"/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Ірина</w:t>
      </w:r>
      <w:proofErr w:type="spellEnd"/>
      <w:r w:rsidRPr="00493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ДАЮК</w:t>
      </w:r>
      <w:bookmarkEnd w:id="3"/>
    </w:p>
    <w:p w14:paraId="1AB82BB3" w14:textId="7D25DBBF" w:rsidR="00C3326A" w:rsidRPr="00493E5F" w:rsidRDefault="00C3326A" w:rsidP="000E2EC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sectPr w:rsidR="00C3326A" w:rsidRPr="00493E5F" w:rsidSect="006E75F3">
      <w:headerReference w:type="default" r:id="rId12"/>
      <w:pgSz w:w="11910" w:h="16840"/>
      <w:pgMar w:top="568" w:right="851" w:bottom="567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300E2" w14:textId="77777777" w:rsidR="00681FC6" w:rsidRDefault="00681FC6" w:rsidP="00F60E83">
      <w:r>
        <w:separator/>
      </w:r>
    </w:p>
  </w:endnote>
  <w:endnote w:type="continuationSeparator" w:id="0">
    <w:p w14:paraId="4D11CADF" w14:textId="77777777" w:rsidR="00681FC6" w:rsidRDefault="00681FC6" w:rsidP="00F6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45B32" w14:textId="77777777" w:rsidR="00681FC6" w:rsidRDefault="00681FC6" w:rsidP="00F60E83">
      <w:r>
        <w:separator/>
      </w:r>
    </w:p>
  </w:footnote>
  <w:footnote w:type="continuationSeparator" w:id="0">
    <w:p w14:paraId="6231A54E" w14:textId="77777777" w:rsidR="00681FC6" w:rsidRDefault="00681FC6" w:rsidP="00F6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838D" w14:textId="370D637C" w:rsidR="00AB14B8" w:rsidRDefault="00AB14B8">
    <w:pPr>
      <w:pStyle w:val="aa"/>
    </w:pPr>
  </w:p>
  <w:p w14:paraId="3D798DB7" w14:textId="77777777" w:rsidR="00F60E83" w:rsidRDefault="00F60E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60A"/>
    <w:multiLevelType w:val="multilevel"/>
    <w:tmpl w:val="96B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61587"/>
    <w:multiLevelType w:val="multilevel"/>
    <w:tmpl w:val="46F0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046B3"/>
    <w:multiLevelType w:val="hybridMultilevel"/>
    <w:tmpl w:val="1E9EE7D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B3559"/>
    <w:multiLevelType w:val="hybridMultilevel"/>
    <w:tmpl w:val="4030E666"/>
    <w:lvl w:ilvl="0" w:tplc="871014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6175FEA"/>
    <w:multiLevelType w:val="multilevel"/>
    <w:tmpl w:val="D7AA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362F1"/>
    <w:multiLevelType w:val="hybridMultilevel"/>
    <w:tmpl w:val="E750697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E0A"/>
    <w:multiLevelType w:val="hybridMultilevel"/>
    <w:tmpl w:val="EC6A42C0"/>
    <w:lvl w:ilvl="0" w:tplc="A2A4F30E">
      <w:start w:val="1"/>
      <w:numFmt w:val="decimal"/>
      <w:lvlText w:val="%1."/>
      <w:lvlJc w:val="left"/>
      <w:pPr>
        <w:ind w:left="432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C377F59"/>
    <w:multiLevelType w:val="multilevel"/>
    <w:tmpl w:val="889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93F7B"/>
    <w:multiLevelType w:val="hybridMultilevel"/>
    <w:tmpl w:val="08A01AE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1A6E"/>
    <w:multiLevelType w:val="multilevel"/>
    <w:tmpl w:val="654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F46C9"/>
    <w:multiLevelType w:val="hybridMultilevel"/>
    <w:tmpl w:val="A6D8227A"/>
    <w:lvl w:ilvl="0" w:tplc="01E2A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E534E1"/>
    <w:multiLevelType w:val="hybridMultilevel"/>
    <w:tmpl w:val="4030E666"/>
    <w:lvl w:ilvl="0" w:tplc="871014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A927CE7"/>
    <w:multiLevelType w:val="hybridMultilevel"/>
    <w:tmpl w:val="FF10B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3921BD"/>
    <w:multiLevelType w:val="hybridMultilevel"/>
    <w:tmpl w:val="23C2364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0A503D"/>
    <w:multiLevelType w:val="hybridMultilevel"/>
    <w:tmpl w:val="DCC64064"/>
    <w:lvl w:ilvl="0" w:tplc="AFFE3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2303"/>
    <w:multiLevelType w:val="multilevel"/>
    <w:tmpl w:val="E0A488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053A77"/>
    <w:multiLevelType w:val="hybridMultilevel"/>
    <w:tmpl w:val="DEBA1740"/>
    <w:lvl w:ilvl="0" w:tplc="C8526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2D6D05"/>
    <w:multiLevelType w:val="hybridMultilevel"/>
    <w:tmpl w:val="4902637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DC24B7"/>
    <w:multiLevelType w:val="multilevel"/>
    <w:tmpl w:val="70DE5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15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6"/>
  </w:num>
  <w:num w:numId="18">
    <w:abstractNumId w:val="12"/>
  </w:num>
  <w:num w:numId="19">
    <w:abstractNumId w:val="2"/>
  </w:num>
  <w:num w:numId="20">
    <w:abstractNumId w:val="5"/>
  </w:num>
  <w:num w:numId="21">
    <w:abstractNumId w:val="14"/>
  </w:num>
  <w:num w:numId="22">
    <w:abstractNumId w:val="1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47"/>
    <w:rsid w:val="00007BBC"/>
    <w:rsid w:val="00014690"/>
    <w:rsid w:val="00017617"/>
    <w:rsid w:val="000266D4"/>
    <w:rsid w:val="000343EC"/>
    <w:rsid w:val="00043950"/>
    <w:rsid w:val="00055D93"/>
    <w:rsid w:val="00060970"/>
    <w:rsid w:val="000670B5"/>
    <w:rsid w:val="000714D2"/>
    <w:rsid w:val="000837C2"/>
    <w:rsid w:val="0009728A"/>
    <w:rsid w:val="000A75B4"/>
    <w:rsid w:val="000C13F0"/>
    <w:rsid w:val="000C152A"/>
    <w:rsid w:val="000E2EC4"/>
    <w:rsid w:val="000E3CF3"/>
    <w:rsid w:val="000F1F9C"/>
    <w:rsid w:val="000F6774"/>
    <w:rsid w:val="000F742D"/>
    <w:rsid w:val="00106E4C"/>
    <w:rsid w:val="001210D4"/>
    <w:rsid w:val="001230AD"/>
    <w:rsid w:val="00123DF7"/>
    <w:rsid w:val="00124511"/>
    <w:rsid w:val="00141870"/>
    <w:rsid w:val="001475D8"/>
    <w:rsid w:val="00155A8B"/>
    <w:rsid w:val="0016740F"/>
    <w:rsid w:val="00172BA2"/>
    <w:rsid w:val="00175FF7"/>
    <w:rsid w:val="00180C74"/>
    <w:rsid w:val="00186F20"/>
    <w:rsid w:val="001917CB"/>
    <w:rsid w:val="001A484E"/>
    <w:rsid w:val="001A4A48"/>
    <w:rsid w:val="001B688F"/>
    <w:rsid w:val="001C03F4"/>
    <w:rsid w:val="001D16D0"/>
    <w:rsid w:val="001D57D3"/>
    <w:rsid w:val="001D6F3B"/>
    <w:rsid w:val="001F0C7F"/>
    <w:rsid w:val="001F1B12"/>
    <w:rsid w:val="001F7EFA"/>
    <w:rsid w:val="002047C8"/>
    <w:rsid w:val="00206621"/>
    <w:rsid w:val="002238E9"/>
    <w:rsid w:val="00226A5B"/>
    <w:rsid w:val="00236E2A"/>
    <w:rsid w:val="00245A73"/>
    <w:rsid w:val="00284CBD"/>
    <w:rsid w:val="00284E8E"/>
    <w:rsid w:val="00286187"/>
    <w:rsid w:val="002923A5"/>
    <w:rsid w:val="002C0FC3"/>
    <w:rsid w:val="002C0FFC"/>
    <w:rsid w:val="002C4D18"/>
    <w:rsid w:val="002D2A0E"/>
    <w:rsid w:val="002D2C52"/>
    <w:rsid w:val="003009CC"/>
    <w:rsid w:val="00306C2F"/>
    <w:rsid w:val="0033729F"/>
    <w:rsid w:val="00344C78"/>
    <w:rsid w:val="0034650A"/>
    <w:rsid w:val="003502AD"/>
    <w:rsid w:val="00352999"/>
    <w:rsid w:val="00356078"/>
    <w:rsid w:val="00362C53"/>
    <w:rsid w:val="0036372B"/>
    <w:rsid w:val="00376EA3"/>
    <w:rsid w:val="00396A31"/>
    <w:rsid w:val="003A70DB"/>
    <w:rsid w:val="003C686D"/>
    <w:rsid w:val="003E0C07"/>
    <w:rsid w:val="003E6F48"/>
    <w:rsid w:val="003F5AA6"/>
    <w:rsid w:val="003F6E47"/>
    <w:rsid w:val="0040412D"/>
    <w:rsid w:val="00424F45"/>
    <w:rsid w:val="00426DB6"/>
    <w:rsid w:val="004452BE"/>
    <w:rsid w:val="00453017"/>
    <w:rsid w:val="00482815"/>
    <w:rsid w:val="004859F2"/>
    <w:rsid w:val="00485C57"/>
    <w:rsid w:val="00493E5F"/>
    <w:rsid w:val="004960E7"/>
    <w:rsid w:val="004D6E00"/>
    <w:rsid w:val="004E79BF"/>
    <w:rsid w:val="0051506F"/>
    <w:rsid w:val="00516A84"/>
    <w:rsid w:val="00535078"/>
    <w:rsid w:val="00536E4B"/>
    <w:rsid w:val="00541C8B"/>
    <w:rsid w:val="00554DDD"/>
    <w:rsid w:val="00561A2A"/>
    <w:rsid w:val="00583040"/>
    <w:rsid w:val="00593722"/>
    <w:rsid w:val="00595049"/>
    <w:rsid w:val="005A009C"/>
    <w:rsid w:val="005B1016"/>
    <w:rsid w:val="005B3819"/>
    <w:rsid w:val="005C0C6C"/>
    <w:rsid w:val="005C39C2"/>
    <w:rsid w:val="005D581E"/>
    <w:rsid w:val="005D5C35"/>
    <w:rsid w:val="005F1ACD"/>
    <w:rsid w:val="005F23E7"/>
    <w:rsid w:val="005F588E"/>
    <w:rsid w:val="006122A7"/>
    <w:rsid w:val="0062175D"/>
    <w:rsid w:val="00632C0C"/>
    <w:rsid w:val="00641DC8"/>
    <w:rsid w:val="00643E52"/>
    <w:rsid w:val="00671053"/>
    <w:rsid w:val="00671273"/>
    <w:rsid w:val="00671B49"/>
    <w:rsid w:val="00673C9D"/>
    <w:rsid w:val="0067731A"/>
    <w:rsid w:val="00681FC6"/>
    <w:rsid w:val="006A3F31"/>
    <w:rsid w:val="006B4E3C"/>
    <w:rsid w:val="006C18DB"/>
    <w:rsid w:val="006C2A09"/>
    <w:rsid w:val="006E0157"/>
    <w:rsid w:val="006E75F3"/>
    <w:rsid w:val="006F3634"/>
    <w:rsid w:val="006F5227"/>
    <w:rsid w:val="00704370"/>
    <w:rsid w:val="00713BAC"/>
    <w:rsid w:val="00714975"/>
    <w:rsid w:val="00721FC5"/>
    <w:rsid w:val="00746572"/>
    <w:rsid w:val="00754F16"/>
    <w:rsid w:val="00764E33"/>
    <w:rsid w:val="0077150C"/>
    <w:rsid w:val="007744B2"/>
    <w:rsid w:val="00785E9B"/>
    <w:rsid w:val="00795548"/>
    <w:rsid w:val="007958A9"/>
    <w:rsid w:val="007D2439"/>
    <w:rsid w:val="007E2741"/>
    <w:rsid w:val="00821E36"/>
    <w:rsid w:val="008344D3"/>
    <w:rsid w:val="0084628E"/>
    <w:rsid w:val="00855F76"/>
    <w:rsid w:val="00874165"/>
    <w:rsid w:val="0087446E"/>
    <w:rsid w:val="00877166"/>
    <w:rsid w:val="00891284"/>
    <w:rsid w:val="008B00AB"/>
    <w:rsid w:val="008B43EA"/>
    <w:rsid w:val="008B5F77"/>
    <w:rsid w:val="008C2435"/>
    <w:rsid w:val="008C2548"/>
    <w:rsid w:val="008C6706"/>
    <w:rsid w:val="008C6BE2"/>
    <w:rsid w:val="008D6685"/>
    <w:rsid w:val="0091318A"/>
    <w:rsid w:val="00914121"/>
    <w:rsid w:val="0092706B"/>
    <w:rsid w:val="00936C97"/>
    <w:rsid w:val="00946A47"/>
    <w:rsid w:val="009537D2"/>
    <w:rsid w:val="00977420"/>
    <w:rsid w:val="00977853"/>
    <w:rsid w:val="009A0701"/>
    <w:rsid w:val="009A1491"/>
    <w:rsid w:val="009A619C"/>
    <w:rsid w:val="009A7102"/>
    <w:rsid w:val="009B3A7B"/>
    <w:rsid w:val="009B56D6"/>
    <w:rsid w:val="009C0FE9"/>
    <w:rsid w:val="009C4103"/>
    <w:rsid w:val="009C47D0"/>
    <w:rsid w:val="009D367C"/>
    <w:rsid w:val="009F2079"/>
    <w:rsid w:val="009F6E62"/>
    <w:rsid w:val="00A12844"/>
    <w:rsid w:val="00A421E2"/>
    <w:rsid w:val="00A7515D"/>
    <w:rsid w:val="00A86A94"/>
    <w:rsid w:val="00A96892"/>
    <w:rsid w:val="00AA745D"/>
    <w:rsid w:val="00AB14B8"/>
    <w:rsid w:val="00AB3EB7"/>
    <w:rsid w:val="00AD784A"/>
    <w:rsid w:val="00B13390"/>
    <w:rsid w:val="00B20578"/>
    <w:rsid w:val="00B21A4B"/>
    <w:rsid w:val="00B2750C"/>
    <w:rsid w:val="00B37585"/>
    <w:rsid w:val="00B37FCB"/>
    <w:rsid w:val="00B46195"/>
    <w:rsid w:val="00B6318B"/>
    <w:rsid w:val="00B73C03"/>
    <w:rsid w:val="00B828A7"/>
    <w:rsid w:val="00B84457"/>
    <w:rsid w:val="00BB1AF7"/>
    <w:rsid w:val="00BD54DB"/>
    <w:rsid w:val="00BE40A0"/>
    <w:rsid w:val="00BF3C2B"/>
    <w:rsid w:val="00C04097"/>
    <w:rsid w:val="00C05D73"/>
    <w:rsid w:val="00C12B5A"/>
    <w:rsid w:val="00C3326A"/>
    <w:rsid w:val="00C50FD7"/>
    <w:rsid w:val="00C53419"/>
    <w:rsid w:val="00C64EE5"/>
    <w:rsid w:val="00C73443"/>
    <w:rsid w:val="00C92E0F"/>
    <w:rsid w:val="00CD5A64"/>
    <w:rsid w:val="00CE189A"/>
    <w:rsid w:val="00CF0FA2"/>
    <w:rsid w:val="00D05AB9"/>
    <w:rsid w:val="00D10593"/>
    <w:rsid w:val="00D17F23"/>
    <w:rsid w:val="00D40469"/>
    <w:rsid w:val="00D46020"/>
    <w:rsid w:val="00D47204"/>
    <w:rsid w:val="00D54FCA"/>
    <w:rsid w:val="00D55966"/>
    <w:rsid w:val="00D6268A"/>
    <w:rsid w:val="00D94F0C"/>
    <w:rsid w:val="00DA1E4D"/>
    <w:rsid w:val="00DA2FB0"/>
    <w:rsid w:val="00DE3F04"/>
    <w:rsid w:val="00DF16C5"/>
    <w:rsid w:val="00DF5A15"/>
    <w:rsid w:val="00DF5FCA"/>
    <w:rsid w:val="00DF6071"/>
    <w:rsid w:val="00E00EC4"/>
    <w:rsid w:val="00E16A54"/>
    <w:rsid w:val="00E25453"/>
    <w:rsid w:val="00E30FAA"/>
    <w:rsid w:val="00E37615"/>
    <w:rsid w:val="00E40CDC"/>
    <w:rsid w:val="00E4455A"/>
    <w:rsid w:val="00E61D41"/>
    <w:rsid w:val="00E7358E"/>
    <w:rsid w:val="00E73D94"/>
    <w:rsid w:val="00E80888"/>
    <w:rsid w:val="00E8330F"/>
    <w:rsid w:val="00EA22E4"/>
    <w:rsid w:val="00EB5963"/>
    <w:rsid w:val="00ED0A52"/>
    <w:rsid w:val="00ED0C60"/>
    <w:rsid w:val="00ED3931"/>
    <w:rsid w:val="00EF19D3"/>
    <w:rsid w:val="00EF26FC"/>
    <w:rsid w:val="00F42471"/>
    <w:rsid w:val="00F45310"/>
    <w:rsid w:val="00F4794D"/>
    <w:rsid w:val="00F57477"/>
    <w:rsid w:val="00F60E83"/>
    <w:rsid w:val="00F651B3"/>
    <w:rsid w:val="00F830A1"/>
    <w:rsid w:val="00F87970"/>
    <w:rsid w:val="00F92297"/>
    <w:rsid w:val="00FA4628"/>
    <w:rsid w:val="00FB6154"/>
    <w:rsid w:val="00FB7263"/>
    <w:rsid w:val="00FC0F64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7369B"/>
  <w15:docId w15:val="{F5FD4565-25ED-475F-AA3B-98AA1BEE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42" w:hanging="3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basedOn w:val="a0"/>
    <w:link w:val="a5"/>
    <w:uiPriority w:val="34"/>
    <w:locked/>
    <w:rsid w:val="00535078"/>
  </w:style>
  <w:style w:type="character" w:customStyle="1" w:styleId="a4">
    <w:name w:val="Основной текст Знак"/>
    <w:basedOn w:val="a0"/>
    <w:link w:val="a3"/>
    <w:uiPriority w:val="1"/>
    <w:rsid w:val="001A484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E0C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C0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7D24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5F588E"/>
  </w:style>
  <w:style w:type="table" w:styleId="a9">
    <w:name w:val="Table Grid"/>
    <w:basedOn w:val="a1"/>
    <w:uiPriority w:val="39"/>
    <w:rsid w:val="005F588E"/>
    <w:pPr>
      <w:widowControl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60E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0E83"/>
  </w:style>
  <w:style w:type="paragraph" w:styleId="ac">
    <w:name w:val="footer"/>
    <w:basedOn w:val="a"/>
    <w:link w:val="ad"/>
    <w:uiPriority w:val="99"/>
    <w:unhideWhenUsed/>
    <w:rsid w:val="00F60E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438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53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471">
          <w:marLeft w:val="-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42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099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5572-1482-49B7-AA40-31BD6D4D3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DB343-ED5E-4CCD-B615-B0E1B500A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71A41-AE30-45CE-9BF6-E5BC4D7CF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428E8C-D269-41D8-AEC0-4B84948C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Багрій Оксана Борисівна</dc:creator>
  <cp:lastModifiedBy>Admin</cp:lastModifiedBy>
  <cp:revision>4</cp:revision>
  <cp:lastPrinted>2021-03-04T09:14:00Z</cp:lastPrinted>
  <dcterms:created xsi:type="dcterms:W3CDTF">2021-03-11T13:05:00Z</dcterms:created>
  <dcterms:modified xsi:type="dcterms:W3CDTF">2021-03-12T15:35:00Z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2019-04-18T00:00:00Z</vt:filetime>
  </property>
  <property fmtid="{D5CDD505-2E9C-101B-9397-08002B2CF9AE}" pid="4" name="ContentTypeId">
    <vt:lpwstr>0x01010018FAB07AE9BC014090D4BD81B2B8BF03</vt:lpwstr>
  </property>
</Properties>
</file>