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9B1D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CFE283B" wp14:editId="4D5A427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7875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78F000EF" w14:textId="77777777" w:rsidR="00CF255C" w:rsidRPr="001E7267" w:rsidRDefault="00CF255C" w:rsidP="00CF25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1E72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14:paraId="2A60C843" w14:textId="77777777" w:rsidR="00CF255C" w:rsidRPr="001E7267" w:rsidRDefault="00CF255C" w:rsidP="00CF25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району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Рівненської</w:t>
      </w:r>
      <w:r w:rsidRPr="001E72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1E726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5DEF7A7F" w14:textId="77777777" w:rsidR="00CF255C" w:rsidRPr="001E7267" w:rsidRDefault="00CF255C" w:rsidP="00C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четверта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чергова сесія восьмого </w:t>
      </w: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14:paraId="473B30E7" w14:textId="77777777" w:rsidR="00CF255C" w:rsidRPr="001E7267" w:rsidRDefault="00CF255C" w:rsidP="00CF255C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1E7267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44CFF4CB" w14:textId="77777777" w:rsidR="00CF255C" w:rsidRPr="001E7267" w:rsidRDefault="00CF255C" w:rsidP="00CF255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78EEF8A4" w14:textId="77777777" w:rsidR="00CF255C" w:rsidRPr="001E7267" w:rsidRDefault="00CF255C" w:rsidP="00CF255C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7610D5BE" w14:textId="56D4152F" w:rsidR="00CF255C" w:rsidRDefault="00D56DBE" w:rsidP="00CF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04 березня 2021року                     </w:t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5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</w:t>
      </w:r>
    </w:p>
    <w:p w14:paraId="7B8404DF" w14:textId="77777777" w:rsidR="00D56DBE" w:rsidRPr="001E7267" w:rsidRDefault="00D56DBE" w:rsidP="00CF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E4D428" w14:textId="77777777" w:rsidR="00CF255C" w:rsidRPr="001E7267" w:rsidRDefault="00CF255C" w:rsidP="00CF255C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затвердження </w:t>
      </w:r>
      <w:bookmarkStart w:id="0" w:name="_Hlk63345595"/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</w:t>
      </w: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«Діти Рівненщини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2021-2023 роки </w:t>
      </w:r>
      <w:bookmarkEnd w:id="0"/>
    </w:p>
    <w:p w14:paraId="2BABF64C" w14:textId="77777777" w:rsidR="00CF255C" w:rsidRPr="001E7267" w:rsidRDefault="00CF255C" w:rsidP="00CF255C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F148D82" w14:textId="664A884A" w:rsidR="00CF255C" w:rsidRPr="001E7267" w:rsidRDefault="00CF255C" w:rsidP="00CF2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охорону дитинства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 та 14 Закону України «Основи законодавства України про охорону здоров’я»,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розпорядження голови обласної державної адміністрації № 789 від 18.12.2020 року,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якості надання медичної допомоги дітям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постійної комісії з </w:t>
      </w:r>
      <w:bookmarkStart w:id="1" w:name="_Hlk63345568"/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</w:t>
      </w:r>
      <w:bookmarkEnd w:id="1"/>
      <w:r w:rsidR="00D5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сесія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D5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D5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14:paraId="5285B481" w14:textId="77777777" w:rsidR="00CF255C" w:rsidRPr="001E7267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A9180" w14:textId="77777777" w:rsidR="00CF255C" w:rsidRPr="001E7267" w:rsidRDefault="00CF255C" w:rsidP="00CF255C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095CD723" w14:textId="77777777" w:rsidR="00CF255C" w:rsidRPr="001E7267" w:rsidRDefault="00CF255C" w:rsidP="00CF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B6021A" w14:textId="77777777" w:rsidR="00CF255C" w:rsidRPr="001E7267" w:rsidRDefault="00CF255C" w:rsidP="00D56D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Програму </w:t>
      </w:r>
      <w:bookmarkStart w:id="2" w:name="_Hlk63948492"/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«Діти Рівненщини» на 2021-2023 роки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додається.</w:t>
      </w:r>
    </w:p>
    <w:p w14:paraId="667B759C" w14:textId="5F4BDE36" w:rsidR="00CF255C" w:rsidRPr="001E7267" w:rsidRDefault="00CF255C" w:rsidP="00D56D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Фінансовому відділу передбачити кошти на фінансування Програми </w:t>
      </w:r>
      <w:r w:rsidRPr="001D3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«Діти Рівненщини» на 2021-2023 роки</w:t>
      </w:r>
      <w:r w:rsidR="0092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умови перевищення доходів загального фонду місцевого бюджету (без врахування міжбюджетних трансфертів), врахованих у розписці місцевого бюджету на відповідний період не менше ніж на 5 відсотків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5BDD88" w14:textId="77777777" w:rsidR="00CF255C" w:rsidRPr="001E7267" w:rsidRDefault="00CF255C" w:rsidP="00D56DB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 Контроль за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1E7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1E7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громади.</w:t>
      </w:r>
    </w:p>
    <w:p w14:paraId="444E678C" w14:textId="77777777" w:rsidR="00CF255C" w:rsidRPr="001E7267" w:rsidRDefault="00CF255C" w:rsidP="00CF25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E74818" w14:textId="77777777" w:rsidR="00CF255C" w:rsidRPr="001E7267" w:rsidRDefault="00CF255C" w:rsidP="00CF2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57937" w14:textId="77777777" w:rsidR="00CF255C" w:rsidRPr="001E7267" w:rsidRDefault="00CF255C" w:rsidP="00CF25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E7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07C80B2D" w14:textId="77777777" w:rsidR="00CF255C" w:rsidRDefault="00CF255C" w:rsidP="00CF255C">
      <w:pPr>
        <w:rPr>
          <w:i/>
          <w:sz w:val="16"/>
          <w:szCs w:val="16"/>
          <w:lang w:val="uk-UA"/>
        </w:rPr>
      </w:pPr>
    </w:p>
    <w:p w14:paraId="206168CF" w14:textId="77777777" w:rsidR="00CF255C" w:rsidRDefault="00CF255C" w:rsidP="00CF255C">
      <w:pPr>
        <w:rPr>
          <w:i/>
          <w:sz w:val="16"/>
          <w:szCs w:val="16"/>
          <w:lang w:val="uk-UA"/>
        </w:rPr>
      </w:pPr>
    </w:p>
    <w:p w14:paraId="53FE8E29" w14:textId="77777777" w:rsidR="00CF255C" w:rsidRDefault="00CF255C" w:rsidP="00CF255C">
      <w:pPr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br w:type="page"/>
      </w:r>
    </w:p>
    <w:p w14:paraId="67A0A73D" w14:textId="77777777" w:rsidR="00CF255C" w:rsidRPr="00852A32" w:rsidRDefault="00CF255C" w:rsidP="00CF255C">
      <w:pPr>
        <w:spacing w:after="0" w:line="240" w:lineRule="auto"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3" w:name="_Hlk63935122"/>
      <w:bookmarkStart w:id="4" w:name="_Hlk64883604"/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>Додаток</w:t>
      </w:r>
    </w:p>
    <w:p w14:paraId="193CC207" w14:textId="77777777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ЗАТВЕРДЖЕНО</w:t>
      </w:r>
    </w:p>
    <w:p w14:paraId="4AEC4B7A" w14:textId="77777777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Рішенням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сесії Білокриницької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сільської ради</w:t>
      </w:r>
    </w:p>
    <w:p w14:paraId="6618655A" w14:textId="33CB5252" w:rsidR="00CF255C" w:rsidRPr="00852A32" w:rsidRDefault="00CF255C" w:rsidP="00CF255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</w:t>
      </w:r>
      <w:r w:rsidR="00D56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04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»</w:t>
      </w:r>
      <w:r w:rsidR="00D56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березня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року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852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№</w:t>
      </w:r>
      <w:r w:rsidR="00D56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81</w:t>
      </w:r>
    </w:p>
    <w:p w14:paraId="50F52C53" w14:textId="77777777" w:rsidR="00CF255C" w:rsidRPr="00CF255C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</w:p>
    <w:p w14:paraId="68B244F1" w14:textId="77777777" w:rsidR="00CF255C" w:rsidRPr="0078022F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Програма «Діти Рівненщини» </w:t>
      </w:r>
    </w:p>
    <w:p w14:paraId="1A0BB4C2" w14:textId="77777777" w:rsidR="00CF255C" w:rsidRPr="0078022F" w:rsidRDefault="00CF255C" w:rsidP="00CF255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i/>
          <w:sz w:val="28"/>
          <w:szCs w:val="28"/>
          <w:lang w:val="uk-UA"/>
        </w:rPr>
        <w:t>на 2021-2023 роки</w:t>
      </w:r>
    </w:p>
    <w:bookmarkEnd w:id="3"/>
    <w:p w14:paraId="4E223CD5" w14:textId="77777777" w:rsidR="00CF255C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Білокриницька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АЗПСМ обслуговує жителів сіл Біла Криниця,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Антопіль,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Глинки,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на території яких проживає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1045 дітей віком до 18 років.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Діти усіх вікових категорій охоплені спостереженням та медичним забезпеченням</w:t>
      </w:r>
      <w:r>
        <w:rPr>
          <w:rFonts w:asciiTheme="majorBidi" w:hAnsiTheme="majorBidi" w:cstheme="majorBidi"/>
          <w:sz w:val="28"/>
          <w:szCs w:val="28"/>
          <w:lang w:val="uk-UA"/>
        </w:rPr>
        <w:t>, з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окрема 49 дітей віком до 1 року життя.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Відповідно,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значна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ількість хворих дітей потребує систематичного динамічного спостереження та оздоровлення.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Високі показники захворюваності та хворобливості дітей впливають на формування показників дитячої інвалідності.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1284A6BA" w14:textId="77777777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>Під наглядом Білокриницької ФЗПСМ знаходиться 22 дітей з інвалідністю,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в тому числі щороку отримують статус дитини-інваліда вперше близько 2-3 дитини.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Проблемою є те,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що лікування дітей із вродженими і спадковими,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орфанними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захворюваннями та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онкогематолагічною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патологією –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дороговартісне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та довготривале,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яке лише частково фінансується з державного та місцевих бюджетів</w:t>
      </w:r>
    </w:p>
    <w:p w14:paraId="05FCDDE7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bookmarkStart w:id="5" w:name="_Hlk63936137"/>
    </w:p>
    <w:p w14:paraId="50D9A076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bCs/>
          <w:sz w:val="28"/>
          <w:szCs w:val="28"/>
          <w:lang w:val="uk-UA"/>
        </w:rPr>
        <w:t>Актуальність розроблення програми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bookmarkEnd w:id="5"/>
    <w:p w14:paraId="47EDBBE3" w14:textId="77777777" w:rsidR="00CF255C" w:rsidRDefault="00CF255C" w:rsidP="00CF255C">
      <w:pPr>
        <w:spacing w:line="276" w:lineRule="auto"/>
        <w:ind w:firstLine="851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>Актуальність розроблення програми зумовлена необхідністю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ардинального поліпшення організації та створення умов для надання якісної спеціалізованої медичної допомоги дітям.</w:t>
      </w:r>
    </w:p>
    <w:p w14:paraId="064DD852" w14:textId="77777777" w:rsidR="00CF255C" w:rsidRPr="0078022F" w:rsidRDefault="00CF255C" w:rsidP="00CF255C">
      <w:pPr>
        <w:spacing w:line="276" w:lineRule="auto"/>
        <w:ind w:firstLine="851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Питання забезпечення життя та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uk-UA"/>
        </w:rPr>
        <w:t>здоров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’я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дітей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створення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належних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умов для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їх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всебічного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і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повноцінного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розвитку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є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приорітетом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державної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політики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у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сфері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8022F">
        <w:rPr>
          <w:rFonts w:asciiTheme="majorBidi" w:hAnsiTheme="majorBidi" w:cstheme="majorBidi"/>
          <w:sz w:val="28"/>
          <w:szCs w:val="28"/>
          <w:lang w:val="ru-RU"/>
        </w:rPr>
        <w:t>охорони</w:t>
      </w:r>
      <w:proofErr w:type="spellEnd"/>
      <w:r w:rsidRPr="0078022F">
        <w:rPr>
          <w:rFonts w:asciiTheme="majorBidi" w:hAnsiTheme="majorBidi" w:cstheme="majorBidi"/>
          <w:sz w:val="28"/>
          <w:szCs w:val="28"/>
          <w:lang w:val="ru-RU"/>
        </w:rPr>
        <w:t xml:space="preserve"> здоров’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я.</w:t>
      </w:r>
    </w:p>
    <w:p w14:paraId="737087FE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3F1E230B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Мета програми</w:t>
      </w:r>
    </w:p>
    <w:p w14:paraId="02333BEF" w14:textId="77777777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bCs/>
          <w:sz w:val="28"/>
          <w:szCs w:val="28"/>
          <w:lang w:val="uk-UA"/>
        </w:rPr>
        <w:t>Метою програми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є забезпечення доступності і підвищення якості первинної медико-санітарної,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спеціалізованої та високо-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спеціалізованої медичної допомоги дітям різних вікових груп на всіх рівнях її надання,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зниження захворюваності,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смертності дітей,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дитячої,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дитячої інвалідності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028EF8A0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41E4B977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7EABE290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Шляхи розв’язання проблеми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86"/>
        <w:gridCol w:w="1601"/>
        <w:gridCol w:w="1362"/>
        <w:gridCol w:w="2323"/>
      </w:tblGrid>
      <w:tr w:rsidR="00CF255C" w:rsidRPr="00646A21" w14:paraId="4661725C" w14:textId="77777777" w:rsidTr="000F4E76">
        <w:trPr>
          <w:trHeight w:val="645"/>
          <w:jc w:val="center"/>
        </w:trPr>
        <w:tc>
          <w:tcPr>
            <w:tcW w:w="3786" w:type="dxa"/>
            <w:vAlign w:val="center"/>
          </w:tcPr>
          <w:p w14:paraId="231FACC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  <w:p w14:paraId="1134B29A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601" w:type="dxa"/>
            <w:vAlign w:val="center"/>
          </w:tcPr>
          <w:p w14:paraId="2DB48308" w14:textId="77777777" w:rsidR="00CF255C" w:rsidRPr="006C2CA8" w:rsidRDefault="00CF255C" w:rsidP="000F4E76">
            <w:pPr>
              <w:spacing w:line="276" w:lineRule="auto"/>
              <w:ind w:left="-126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Відповідаль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н</w:t>
            </w: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62" w:type="dxa"/>
            <w:vAlign w:val="center"/>
          </w:tcPr>
          <w:p w14:paraId="01138F85" w14:textId="77777777" w:rsidR="00CF255C" w:rsidRPr="006C2CA8" w:rsidRDefault="00CF255C" w:rsidP="000F4E76">
            <w:pPr>
              <w:spacing w:line="276" w:lineRule="auto"/>
              <w:ind w:left="-45" w:right="-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23" w:type="dxa"/>
            <w:vAlign w:val="center"/>
          </w:tcPr>
          <w:p w14:paraId="66758AF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F255C" w:rsidRPr="00D56DBE" w14:paraId="2BB37D38" w14:textId="77777777" w:rsidTr="000F4E76">
        <w:trPr>
          <w:trHeight w:val="240"/>
          <w:jc w:val="center"/>
        </w:trPr>
        <w:tc>
          <w:tcPr>
            <w:tcW w:w="9072" w:type="dxa"/>
            <w:gridSpan w:val="4"/>
            <w:vAlign w:val="center"/>
          </w:tcPr>
          <w:p w14:paraId="236D1B0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Охорона здоров’я дітей. Підвищення якості та оптимізація медичних послуг, що надаються дітям</w:t>
            </w:r>
          </w:p>
        </w:tc>
      </w:tr>
      <w:tr w:rsidR="00CF255C" w:rsidRPr="0078022F" w14:paraId="38BE3AC1" w14:textId="77777777" w:rsidTr="000F4E76">
        <w:trPr>
          <w:trHeight w:val="195"/>
          <w:jc w:val="center"/>
        </w:trPr>
        <w:tc>
          <w:tcPr>
            <w:tcW w:w="3786" w:type="dxa"/>
            <w:vAlign w:val="center"/>
          </w:tcPr>
          <w:p w14:paraId="1FD7895D" w14:textId="77777777" w:rsidR="00CF255C" w:rsidRPr="006C2CA8" w:rsidRDefault="00CF255C" w:rsidP="000F4E76">
            <w:pPr>
              <w:spacing w:line="276" w:lineRule="auto"/>
              <w:ind w:left="-108" w:right="-90" w:firstLine="142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Забезпечити безоплатне надання невідкладної медичної допомоги дітям на первинному та вторинному рівнях</w:t>
            </w:r>
          </w:p>
        </w:tc>
        <w:tc>
          <w:tcPr>
            <w:tcW w:w="1601" w:type="dxa"/>
            <w:vAlign w:val="center"/>
          </w:tcPr>
          <w:p w14:paraId="2ABD7B3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422CE34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4F1886D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AF8E035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2DB0A82B" w14:textId="77777777" w:rsidTr="000F4E76">
        <w:trPr>
          <w:jc w:val="center"/>
        </w:trPr>
        <w:tc>
          <w:tcPr>
            <w:tcW w:w="3786" w:type="dxa"/>
            <w:vAlign w:val="center"/>
          </w:tcPr>
          <w:p w14:paraId="74E0CE5C" w14:textId="77777777" w:rsidR="00CF255C" w:rsidRPr="006C2CA8" w:rsidRDefault="00CF255C" w:rsidP="000F4E76">
            <w:pPr>
              <w:spacing w:line="276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дітей,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хворих на імунодефіцит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(вроджений),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медичними препаратами</w:t>
            </w:r>
          </w:p>
        </w:tc>
        <w:tc>
          <w:tcPr>
            <w:tcW w:w="1601" w:type="dxa"/>
            <w:vAlign w:val="center"/>
          </w:tcPr>
          <w:p w14:paraId="6F598DD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59A44D9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F41B93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676BCD5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490875FF" w14:textId="77777777" w:rsidTr="000F4E76">
        <w:trPr>
          <w:jc w:val="center"/>
        </w:trPr>
        <w:tc>
          <w:tcPr>
            <w:tcW w:w="3786" w:type="dxa"/>
            <w:vAlign w:val="center"/>
          </w:tcPr>
          <w:p w14:paraId="6D304A3E" w14:textId="77777777" w:rsidR="00CF255C" w:rsidRPr="006C2CA8" w:rsidRDefault="00CF255C" w:rsidP="000F4E76">
            <w:pPr>
              <w:spacing w:line="276" w:lineRule="auto"/>
              <w:ind w:left="-108" w:firstLine="108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замісною терапією дітей,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хворих на вроджений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гіпотеріоз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тиреоїдними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препаратами</w:t>
            </w:r>
          </w:p>
        </w:tc>
        <w:tc>
          <w:tcPr>
            <w:tcW w:w="1601" w:type="dxa"/>
            <w:vAlign w:val="center"/>
          </w:tcPr>
          <w:p w14:paraId="709D177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ий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комітет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ої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</w:p>
        </w:tc>
        <w:tc>
          <w:tcPr>
            <w:tcW w:w="1362" w:type="dxa"/>
            <w:vAlign w:val="center"/>
          </w:tcPr>
          <w:p w14:paraId="5599520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5ED63E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2F1EBB6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86AA5F6" w14:textId="77777777" w:rsidTr="000F4E76">
        <w:trPr>
          <w:jc w:val="center"/>
        </w:trPr>
        <w:tc>
          <w:tcPr>
            <w:tcW w:w="3786" w:type="dxa"/>
            <w:vAlign w:val="center"/>
          </w:tcPr>
          <w:p w14:paraId="64A3A315" w14:textId="77777777" w:rsidR="00CF255C" w:rsidRPr="006C2CA8" w:rsidRDefault="00CF255C" w:rsidP="000F4E76">
            <w:pPr>
              <w:spacing w:line="276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ботулічним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токсином дітей хворих на дитячий церебральний параліч</w:t>
            </w:r>
          </w:p>
        </w:tc>
        <w:tc>
          <w:tcPr>
            <w:tcW w:w="1601" w:type="dxa"/>
            <w:vAlign w:val="center"/>
          </w:tcPr>
          <w:p w14:paraId="74B4489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43520BF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3DA202A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B4BDD0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80E8D69" w14:textId="77777777" w:rsidTr="000F4E76">
        <w:trPr>
          <w:jc w:val="center"/>
        </w:trPr>
        <w:tc>
          <w:tcPr>
            <w:tcW w:w="3786" w:type="dxa"/>
            <w:vAlign w:val="center"/>
          </w:tcPr>
          <w:p w14:paraId="2E6DC175" w14:textId="77777777" w:rsidR="00CF255C" w:rsidRPr="006C2CA8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медичними препаратами імуномоделюючої терапії дітей з діагнозом розсіяний склероз з первинно-прогресуючим перебігом</w:t>
            </w:r>
          </w:p>
        </w:tc>
        <w:tc>
          <w:tcPr>
            <w:tcW w:w="1601" w:type="dxa"/>
            <w:vAlign w:val="center"/>
          </w:tcPr>
          <w:p w14:paraId="43A37F5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725924A3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60DF80F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963786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Обласний бюджет,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</w:t>
            </w:r>
          </w:p>
        </w:tc>
      </w:tr>
      <w:tr w:rsidR="00CF255C" w:rsidRPr="0078022F" w14:paraId="22839239" w14:textId="77777777" w:rsidTr="000F4E76">
        <w:trPr>
          <w:trHeight w:val="1216"/>
          <w:jc w:val="center"/>
        </w:trPr>
        <w:tc>
          <w:tcPr>
            <w:tcW w:w="3786" w:type="dxa"/>
            <w:vAlign w:val="center"/>
          </w:tcPr>
          <w:p w14:paraId="6153E35D" w14:textId="77777777" w:rsidR="00CF255C" w:rsidRPr="006C2CA8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дітей віком старше трьох років і до 18-річного віку,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фенілкетонурію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спеціальними сумішами для лікувального харчування</w:t>
            </w:r>
          </w:p>
        </w:tc>
        <w:tc>
          <w:tcPr>
            <w:tcW w:w="1601" w:type="dxa"/>
            <w:vAlign w:val="center"/>
          </w:tcPr>
          <w:p w14:paraId="6A46481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497EDE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F94C79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59B8D300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Місцеві бюджети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(індивідуально)</w:t>
            </w:r>
          </w:p>
        </w:tc>
      </w:tr>
      <w:tr w:rsidR="00CF255C" w:rsidRPr="00D56DBE" w14:paraId="27A34680" w14:textId="77777777" w:rsidTr="000F4E76">
        <w:trPr>
          <w:trHeight w:val="1890"/>
          <w:jc w:val="center"/>
        </w:trPr>
        <w:tc>
          <w:tcPr>
            <w:tcW w:w="3786" w:type="dxa"/>
            <w:vAlign w:val="center"/>
          </w:tcPr>
          <w:p w14:paraId="2C8D6BC6" w14:textId="77777777" w:rsidR="00CF255C" w:rsidRPr="009B3CBB" w:rsidRDefault="00CF255C" w:rsidP="000F4E76">
            <w:pPr>
              <w:spacing w:line="276" w:lineRule="auto"/>
              <w:ind w:left="-108" w:right="-1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спеціальними сумішами для лікувального харчування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фенілкетонурію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вагітних жінок для профілактики синдрому материнської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фенілкетонурії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у їхніх дітей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</w:p>
        </w:tc>
        <w:tc>
          <w:tcPr>
            <w:tcW w:w="1601" w:type="dxa"/>
            <w:vAlign w:val="center"/>
          </w:tcPr>
          <w:p w14:paraId="486C675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01C466D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2023</w:t>
            </w:r>
          </w:p>
          <w:p w14:paraId="66AA2CD5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2986C25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Місцеві бюджети</w:t>
            </w:r>
          </w:p>
          <w:p w14:paraId="31DA881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(в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ідповідно до потреби)</w:t>
            </w:r>
          </w:p>
        </w:tc>
      </w:tr>
      <w:tr w:rsidR="00CF255C" w:rsidRPr="00646A21" w14:paraId="24877602" w14:textId="77777777" w:rsidTr="000F4E76">
        <w:trPr>
          <w:trHeight w:val="983"/>
          <w:jc w:val="center"/>
        </w:trPr>
        <w:tc>
          <w:tcPr>
            <w:tcW w:w="3786" w:type="dxa"/>
            <w:vAlign w:val="center"/>
          </w:tcPr>
          <w:p w14:paraId="3DD4712B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медикаментами 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муковісцидоз</w:t>
            </w:r>
            <w:proofErr w:type="spellEnd"/>
          </w:p>
        </w:tc>
        <w:tc>
          <w:tcPr>
            <w:tcW w:w="1601" w:type="dxa"/>
            <w:vAlign w:val="center"/>
          </w:tcPr>
          <w:p w14:paraId="1A06623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01F227B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41EAE54F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6B6BE04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646A21" w14:paraId="77D3D7DB" w14:textId="77777777" w:rsidTr="000F4E76">
        <w:trPr>
          <w:trHeight w:val="1268"/>
          <w:jc w:val="center"/>
        </w:trPr>
        <w:tc>
          <w:tcPr>
            <w:tcW w:w="3786" w:type="dxa"/>
            <w:vAlign w:val="center"/>
          </w:tcPr>
          <w:p w14:paraId="7BC6F461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lastRenderedPageBreak/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хворих на хронічні гепатити В та С дітей медичними препаратами</w:t>
            </w:r>
          </w:p>
        </w:tc>
        <w:tc>
          <w:tcPr>
            <w:tcW w:w="1601" w:type="dxa"/>
            <w:vAlign w:val="center"/>
          </w:tcPr>
          <w:p w14:paraId="1A9A1C4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3BD77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03C6AE61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781C7C2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646A21" w14:paraId="1E84031A" w14:textId="77777777" w:rsidTr="000F4E76">
        <w:trPr>
          <w:trHeight w:val="1272"/>
          <w:jc w:val="center"/>
        </w:trPr>
        <w:tc>
          <w:tcPr>
            <w:tcW w:w="3786" w:type="dxa"/>
            <w:vAlign w:val="center"/>
          </w:tcPr>
          <w:p w14:paraId="150CD7C9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 хворих на виразковий коліт та хворобу Крона,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медичними препаратами</w:t>
            </w:r>
          </w:p>
        </w:tc>
        <w:tc>
          <w:tcPr>
            <w:tcW w:w="1601" w:type="dxa"/>
            <w:vAlign w:val="center"/>
          </w:tcPr>
          <w:p w14:paraId="28BEEACD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3F42777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3EDE486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864CFC9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1791BCB5" w14:textId="77777777" w:rsidTr="000F4E76">
        <w:trPr>
          <w:jc w:val="center"/>
        </w:trPr>
        <w:tc>
          <w:tcPr>
            <w:tcW w:w="3786" w:type="dxa"/>
            <w:vAlign w:val="center"/>
          </w:tcPr>
          <w:p w14:paraId="4977AEF2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абезпечити медикаментами хворих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ревматоїдний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артрит дітей</w:t>
            </w:r>
          </w:p>
        </w:tc>
        <w:tc>
          <w:tcPr>
            <w:tcW w:w="1601" w:type="dxa"/>
            <w:vAlign w:val="center"/>
          </w:tcPr>
          <w:p w14:paraId="0F7F6417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52F889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2B97F893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0027F294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CF255C" w:rsidRPr="0078022F" w14:paraId="7F7B0876" w14:textId="77777777" w:rsidTr="000F4E76">
        <w:trPr>
          <w:jc w:val="center"/>
        </w:trPr>
        <w:tc>
          <w:tcPr>
            <w:tcW w:w="3786" w:type="dxa"/>
            <w:vAlign w:val="center"/>
          </w:tcPr>
          <w:p w14:paraId="4D013449" w14:textId="77777777" w:rsidR="00CF255C" w:rsidRPr="006C2CA8" w:rsidRDefault="00CF255C" w:rsidP="000F4E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абезпечити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дітей,хворих</w:t>
            </w:r>
            <w:proofErr w:type="spellEnd"/>
            <w:proofErr w:type="gram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бульозний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епідермоліз,медичними</w:t>
            </w:r>
            <w:proofErr w:type="spellEnd"/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препаратами та витратними матеріалами</w:t>
            </w:r>
          </w:p>
        </w:tc>
        <w:tc>
          <w:tcPr>
            <w:tcW w:w="1601" w:type="dxa"/>
            <w:vAlign w:val="center"/>
          </w:tcPr>
          <w:p w14:paraId="423FB62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61B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комітет  сільської ради</w:t>
            </w:r>
          </w:p>
        </w:tc>
        <w:tc>
          <w:tcPr>
            <w:tcW w:w="1362" w:type="dxa"/>
            <w:vAlign w:val="center"/>
          </w:tcPr>
          <w:p w14:paraId="213B0BB2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2021-2023</w:t>
            </w:r>
          </w:p>
          <w:p w14:paraId="713C813B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23" w:type="dxa"/>
            <w:vAlign w:val="center"/>
          </w:tcPr>
          <w:p w14:paraId="39369EE8" w14:textId="77777777" w:rsidR="00CF255C" w:rsidRPr="006C2CA8" w:rsidRDefault="00CF255C" w:rsidP="000F4E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бюджет,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6C2CA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державний бюджет</w:t>
            </w:r>
          </w:p>
        </w:tc>
      </w:tr>
    </w:tbl>
    <w:p w14:paraId="2008494C" w14:textId="77777777" w:rsidR="00D56DBE" w:rsidRDefault="00D56DBE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2E00A36F" w14:textId="78F09CC2" w:rsidR="00CF255C" w:rsidRPr="0078022F" w:rsidRDefault="00CF255C" w:rsidP="00CF255C">
      <w:pPr>
        <w:spacing w:line="276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Для надання дитячому населенню </w:t>
      </w:r>
      <w:r>
        <w:rPr>
          <w:rFonts w:asciiTheme="majorBidi" w:hAnsiTheme="majorBidi" w:cstheme="majorBidi"/>
          <w:sz w:val="28"/>
          <w:szCs w:val="28"/>
          <w:lang w:val="uk-UA"/>
        </w:rPr>
        <w:t>громади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 xml:space="preserve"> якісної медичної </w:t>
      </w:r>
      <w:r>
        <w:rPr>
          <w:rFonts w:asciiTheme="majorBidi" w:hAnsiTheme="majorBidi" w:cstheme="majorBidi"/>
          <w:sz w:val="28"/>
          <w:szCs w:val="28"/>
          <w:lang w:val="uk-UA"/>
        </w:rPr>
        <w:t>д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опомоги необхідно: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жити додаткових заходів і передбачити фінансове забезпечення щороку виконання державних соціальних стандартів</w:t>
      </w:r>
      <w:r w:rsidR="00D56DB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8022F">
        <w:rPr>
          <w:rFonts w:asciiTheme="majorBidi" w:hAnsiTheme="majorBidi" w:cstheme="majorBidi"/>
          <w:sz w:val="28"/>
          <w:szCs w:val="28"/>
          <w:lang w:val="uk-UA"/>
        </w:rPr>
        <w:t>у наданні медичної допомоги хворим дітям .</w:t>
      </w:r>
    </w:p>
    <w:p w14:paraId="698AA9DF" w14:textId="77777777" w:rsidR="00CF255C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u w:val="single"/>
          <w:lang w:val="uk-UA"/>
        </w:rPr>
      </w:pPr>
    </w:p>
    <w:p w14:paraId="07A3B3F8" w14:textId="77777777" w:rsidR="00CF255C" w:rsidRPr="0078022F" w:rsidRDefault="00CF255C" w:rsidP="00CF255C">
      <w:pPr>
        <w:spacing w:line="276" w:lineRule="auto"/>
        <w:ind w:firstLine="851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8022F">
        <w:rPr>
          <w:rFonts w:asciiTheme="majorBidi" w:hAnsiTheme="majorBidi" w:cstheme="majorBidi"/>
          <w:b/>
          <w:sz w:val="28"/>
          <w:szCs w:val="28"/>
          <w:lang w:val="uk-UA"/>
        </w:rPr>
        <w:t>Очікувані результати</w:t>
      </w:r>
    </w:p>
    <w:p w14:paraId="2E3BF069" w14:textId="77777777" w:rsidR="00CF255C" w:rsidRDefault="00CF255C" w:rsidP="00CF255C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C2CA8">
        <w:rPr>
          <w:rFonts w:asciiTheme="majorBidi" w:hAnsiTheme="majorBidi" w:cstheme="majorBidi"/>
          <w:sz w:val="28"/>
          <w:szCs w:val="28"/>
          <w:lang w:val="uk-UA"/>
        </w:rPr>
        <w:t>Забезпечити доступність і підвищити якість надання висококваліфікованої спеціалізованої медичної допомоги дітям, підвищити якість та своєчасність діагностики захворювань у дітей, забезпечити взяття на облік та проведення лікувально-оздоровчих заходів хворим дітям, які потребують постійного медикаментозного забезпечення.</w:t>
      </w:r>
    </w:p>
    <w:p w14:paraId="4C82B247" w14:textId="4C526646" w:rsidR="00CF255C" w:rsidRDefault="00CF255C" w:rsidP="00CF255C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C2CA8">
        <w:rPr>
          <w:rFonts w:asciiTheme="majorBidi" w:hAnsiTheme="majorBidi" w:cstheme="majorBidi"/>
          <w:sz w:val="28"/>
          <w:szCs w:val="28"/>
          <w:lang w:val="uk-UA"/>
        </w:rPr>
        <w:t>Знизити рівень загальної та первинної дитячої інвалідності.</w:t>
      </w:r>
    </w:p>
    <w:p w14:paraId="102A5C95" w14:textId="77777777" w:rsidR="00522517" w:rsidRPr="00C41761" w:rsidRDefault="00522517" w:rsidP="00522517">
      <w:pPr>
        <w:pStyle w:val="a6"/>
        <w:spacing w:line="276" w:lineRule="auto"/>
        <w:ind w:left="851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bookmarkEnd w:id="4"/>
    <w:p w14:paraId="0EE30F67" w14:textId="025F3C31" w:rsidR="00475A8A" w:rsidRPr="00522517" w:rsidRDefault="00522517" w:rsidP="0052251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Секретар сільської ради </w:t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</w:r>
      <w:r w:rsidRPr="0052251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ab/>
        <w:t>Ірина ДАЮК</w:t>
      </w:r>
    </w:p>
    <w:sectPr w:rsidR="00475A8A" w:rsidRPr="00522517" w:rsidSect="00455293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20C6B"/>
    <w:multiLevelType w:val="hybridMultilevel"/>
    <w:tmpl w:val="5CB6071E"/>
    <w:lvl w:ilvl="0" w:tplc="F5928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1"/>
    <w:rsid w:val="000373AB"/>
    <w:rsid w:val="00052787"/>
    <w:rsid w:val="00131FD4"/>
    <w:rsid w:val="001A3153"/>
    <w:rsid w:val="001D376B"/>
    <w:rsid w:val="001E7267"/>
    <w:rsid w:val="00214706"/>
    <w:rsid w:val="00413AAB"/>
    <w:rsid w:val="00455293"/>
    <w:rsid w:val="00475A8A"/>
    <w:rsid w:val="00522517"/>
    <w:rsid w:val="00562C55"/>
    <w:rsid w:val="005C4FB1"/>
    <w:rsid w:val="006116FB"/>
    <w:rsid w:val="006C2CA8"/>
    <w:rsid w:val="006D7CF4"/>
    <w:rsid w:val="006F07F4"/>
    <w:rsid w:val="00766198"/>
    <w:rsid w:val="0078022F"/>
    <w:rsid w:val="008919F2"/>
    <w:rsid w:val="008E29DB"/>
    <w:rsid w:val="00920F3F"/>
    <w:rsid w:val="0092603C"/>
    <w:rsid w:val="00962D0C"/>
    <w:rsid w:val="009C6351"/>
    <w:rsid w:val="00A724FB"/>
    <w:rsid w:val="00A90761"/>
    <w:rsid w:val="00AA163D"/>
    <w:rsid w:val="00AF516E"/>
    <w:rsid w:val="00BD4BF6"/>
    <w:rsid w:val="00C41761"/>
    <w:rsid w:val="00CF255C"/>
    <w:rsid w:val="00D12C8D"/>
    <w:rsid w:val="00D56DBE"/>
    <w:rsid w:val="00DF5D5B"/>
    <w:rsid w:val="00EB61D9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CE2"/>
  <w15:chartTrackingRefBased/>
  <w15:docId w15:val="{A12C8593-7B0E-40B8-9032-DDD63D9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CCD6-0245-413E-BABF-8FECC02C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Бiла Криниця</cp:lastModifiedBy>
  <cp:revision>2</cp:revision>
  <cp:lastPrinted>2021-02-19T12:33:00Z</cp:lastPrinted>
  <dcterms:created xsi:type="dcterms:W3CDTF">2021-03-09T09:29:00Z</dcterms:created>
  <dcterms:modified xsi:type="dcterms:W3CDTF">2021-03-09T09:29:00Z</dcterms:modified>
</cp:coreProperties>
</file>