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D5" w:rsidRDefault="00310DD5" w:rsidP="00310DD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25450" cy="61468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DD5" w:rsidRDefault="00310DD5" w:rsidP="00310DD5">
      <w:pPr>
        <w:pStyle w:val="a3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310DD5" w:rsidRDefault="00310DD5" w:rsidP="00310DD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310DD5" w:rsidRDefault="00310DD5" w:rsidP="00310DD5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310DD5" w:rsidRDefault="00310DD5" w:rsidP="00310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двадцять шоста позачергова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310DD5" w:rsidRDefault="00310DD5" w:rsidP="00310DD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10DD5" w:rsidRDefault="00310DD5" w:rsidP="00310DD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310DD5" w:rsidRDefault="00310DD5" w:rsidP="00310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РІШЕННЯ</w:t>
      </w:r>
    </w:p>
    <w:p w:rsidR="00310DD5" w:rsidRDefault="00310DD5" w:rsidP="00310DD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10DD5" w:rsidRDefault="00310DD5" w:rsidP="00310DD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24   квітня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714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027A8" w:rsidRPr="00CC2A95" w:rsidRDefault="00B027A8" w:rsidP="006C6657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F77FD6" w:rsidRDefault="00F77FD6" w:rsidP="00E92E3D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02EA0" w:rsidRPr="00CC2A95" w:rsidRDefault="00702EA0" w:rsidP="00E92E3D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C2A9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F77FD6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підсумки</w:t>
      </w:r>
      <w:r w:rsidR="00E92E3D" w:rsidRPr="00CC2A9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F173C" w:rsidRPr="00CC2A95">
        <w:rPr>
          <w:rFonts w:ascii="Times New Roman" w:hAnsi="Times New Roman" w:cs="Times New Roman"/>
          <w:b/>
          <w:i/>
          <w:sz w:val="28"/>
          <w:szCs w:val="28"/>
          <w:lang w:val="uk-UA"/>
        </w:rPr>
        <w:t>подання електронних декларацій</w:t>
      </w:r>
      <w:r w:rsidR="00CC2A9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осіб, уповноважених на виконання функцій держави або місцевого самоврядування за 2017 рік </w:t>
      </w:r>
    </w:p>
    <w:p w:rsidR="00702EA0" w:rsidRPr="00CC2A95" w:rsidRDefault="00702EA0" w:rsidP="001916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27A8" w:rsidRPr="00CC2A95" w:rsidRDefault="00B027A8" w:rsidP="00191635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63DCD" w:rsidRPr="00CC2A95" w:rsidRDefault="00B63DCD" w:rsidP="00F77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A95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001FE4" w:rsidRPr="00CC2A95">
        <w:rPr>
          <w:rFonts w:ascii="Times New Roman" w:hAnsi="Times New Roman" w:cs="Times New Roman"/>
          <w:sz w:val="28"/>
          <w:szCs w:val="28"/>
          <w:lang w:val="uk-UA"/>
        </w:rPr>
        <w:t xml:space="preserve">та обговоривши </w:t>
      </w:r>
      <w:r w:rsidRPr="00CC2A95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proofErr w:type="spellStart"/>
      <w:r w:rsidRPr="00CC2A95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Pr="00CC2A95">
        <w:rPr>
          <w:rFonts w:ascii="Times New Roman" w:hAnsi="Times New Roman" w:cs="Times New Roman"/>
          <w:sz w:val="28"/>
          <w:szCs w:val="28"/>
          <w:lang w:val="uk-UA"/>
        </w:rPr>
        <w:t xml:space="preserve">. секретаря сільської ради О. Казмірчук стосовно </w:t>
      </w:r>
      <w:r w:rsidR="001F173C" w:rsidRPr="00CC2A95">
        <w:rPr>
          <w:rFonts w:ascii="Times New Roman" w:hAnsi="Times New Roman" w:cs="Times New Roman"/>
          <w:sz w:val="28"/>
          <w:szCs w:val="28"/>
          <w:lang w:val="uk-UA"/>
        </w:rPr>
        <w:t>подання декларац</w:t>
      </w:r>
      <w:r w:rsidR="00F77FD6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1F173C" w:rsidRPr="00CC2A95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F77FD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F173C" w:rsidRPr="00CC2A95">
        <w:rPr>
          <w:rFonts w:ascii="Times New Roman" w:hAnsi="Times New Roman" w:cs="Times New Roman"/>
          <w:sz w:val="28"/>
          <w:szCs w:val="28"/>
          <w:lang w:val="uk-UA"/>
        </w:rPr>
        <w:t>б, уповноважен</w:t>
      </w:r>
      <w:r w:rsidR="00F77FD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1F173C" w:rsidRPr="00CC2A95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функцій держави або місцев</w:t>
      </w:r>
      <w:r w:rsidR="00B027A8" w:rsidRPr="00CC2A95">
        <w:rPr>
          <w:rFonts w:ascii="Times New Roman" w:hAnsi="Times New Roman" w:cs="Times New Roman"/>
          <w:sz w:val="28"/>
          <w:szCs w:val="28"/>
          <w:lang w:val="uk-UA"/>
        </w:rPr>
        <w:t>ого самоврядування</w:t>
      </w:r>
      <w:r w:rsidRPr="00CC2A95">
        <w:rPr>
          <w:rFonts w:ascii="Times New Roman" w:hAnsi="Times New Roman" w:cs="Times New Roman"/>
          <w:sz w:val="28"/>
          <w:szCs w:val="28"/>
          <w:lang w:val="uk-UA"/>
        </w:rPr>
        <w:t xml:space="preserve"> за 2017 рік, </w:t>
      </w:r>
      <w:r w:rsidR="00F77FD6">
        <w:rPr>
          <w:rFonts w:ascii="Times New Roman" w:hAnsi="Times New Roman" w:cs="Times New Roman"/>
          <w:sz w:val="28"/>
          <w:szCs w:val="28"/>
          <w:lang w:val="uk-UA"/>
        </w:rPr>
        <w:t>врахувавши дані єдиного державного реєстру декларацій осіб</w:t>
      </w:r>
      <w:r w:rsidR="00B027A8" w:rsidRPr="00CC2A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77FD6" w:rsidRPr="00CC2A95">
        <w:rPr>
          <w:rFonts w:ascii="Times New Roman" w:hAnsi="Times New Roman" w:cs="Times New Roman"/>
          <w:sz w:val="28"/>
          <w:szCs w:val="28"/>
          <w:lang w:val="uk-UA"/>
        </w:rPr>
        <w:t>уповноважен</w:t>
      </w:r>
      <w:r w:rsidR="00F77FD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F77FD6" w:rsidRPr="00CC2A95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функцій держави або місцевого самоврядування</w:t>
      </w:r>
      <w:r w:rsidR="00F77FD6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</w:t>
      </w:r>
      <w:r w:rsidRPr="00CC2A95">
        <w:rPr>
          <w:rFonts w:ascii="Times New Roman" w:hAnsi="Times New Roman" w:cs="Times New Roman"/>
          <w:sz w:val="28"/>
          <w:szCs w:val="28"/>
          <w:lang w:val="uk-UA"/>
        </w:rPr>
        <w:t>ст. 40 Закону України  «Про місцеве самоврядування в Україні»</w:t>
      </w:r>
      <w:r w:rsidR="00B027A8" w:rsidRPr="00CC2A95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CC2A95">
        <w:rPr>
          <w:rFonts w:ascii="Times New Roman" w:hAnsi="Times New Roman" w:cs="Times New Roman"/>
          <w:sz w:val="28"/>
          <w:szCs w:val="28"/>
          <w:lang w:val="uk-UA"/>
        </w:rPr>
        <w:t xml:space="preserve"> з метою поліпшення дотримання антикорупційного законодавства сесія Білокриницької сільської ради</w:t>
      </w:r>
    </w:p>
    <w:p w:rsidR="00702EA0" w:rsidRPr="00CC2A95" w:rsidRDefault="00702EA0" w:rsidP="00F77FD6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bookmarkStart w:id="0" w:name="n441"/>
      <w:bookmarkEnd w:id="0"/>
    </w:p>
    <w:p w:rsidR="00702EA0" w:rsidRPr="00CC2A95" w:rsidRDefault="00702EA0" w:rsidP="00F77F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2A95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CC2A9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C2A95">
        <w:rPr>
          <w:rFonts w:ascii="Times New Roman" w:hAnsi="Times New Roman" w:cs="Times New Roman"/>
          <w:b/>
          <w:sz w:val="28"/>
          <w:szCs w:val="28"/>
        </w:rPr>
        <w:t xml:space="preserve"> І Ш И </w:t>
      </w:r>
      <w:r w:rsidRPr="00CC2A95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Pr="00CC2A95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D1000E" w:rsidRPr="00CC2A95" w:rsidRDefault="00D1000E" w:rsidP="00F77FD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63DCD" w:rsidRPr="00CC2A95" w:rsidRDefault="00B63DCD" w:rsidP="00F77FD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A95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proofErr w:type="spellStart"/>
      <w:r w:rsidR="00F77FD6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F77FD6">
        <w:rPr>
          <w:rFonts w:ascii="Times New Roman" w:hAnsi="Times New Roman" w:cs="Times New Roman"/>
          <w:sz w:val="28"/>
          <w:szCs w:val="28"/>
          <w:lang w:val="uk-UA"/>
        </w:rPr>
        <w:t>. секретаря взяти до уваги.</w:t>
      </w:r>
    </w:p>
    <w:p w:rsidR="00F77FD6" w:rsidRPr="00F77FD6" w:rsidRDefault="00F77FD6" w:rsidP="00F77FD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Депутатам Білокриницької сільської ради IV скликання:</w:t>
      </w:r>
    </w:p>
    <w:p w:rsidR="00F77FD6" w:rsidRPr="00D31A1F" w:rsidRDefault="00F77FD6" w:rsidP="00F77FD6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неухильно дотримуватися термінів подачі електронних декларацій відповідно до встановлених термінів чинним законодавств</w:t>
      </w:r>
      <w:r w:rsidR="00D31A1F">
        <w:rPr>
          <w:rFonts w:ascii="Times New Roman" w:hAnsi="Times New Roman" w:cs="Times New Roman"/>
          <w:sz w:val="28"/>
          <w:szCs w:val="28"/>
          <w:lang w:val="uk-UA"/>
        </w:rPr>
        <w:t>ом;</w:t>
      </w:r>
    </w:p>
    <w:p w:rsidR="00D31A1F" w:rsidRPr="00F77FD6" w:rsidRDefault="00D31A1F" w:rsidP="00F77FD6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постійний контроль за своєчасністю та достовірністю подання електронних декларацій.</w:t>
      </w:r>
    </w:p>
    <w:p w:rsidR="006C6657" w:rsidRPr="00CC2A95" w:rsidRDefault="00702EA0" w:rsidP="00F77FD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A95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</w:t>
      </w:r>
      <w:r w:rsidR="00B63DCD" w:rsidRPr="00CC2A95">
        <w:rPr>
          <w:rFonts w:ascii="Times New Roman" w:hAnsi="Times New Roman" w:cs="Times New Roman"/>
          <w:sz w:val="28"/>
          <w:szCs w:val="28"/>
          <w:lang w:val="uk-UA"/>
        </w:rPr>
        <w:t>персонально на кожного депутата</w:t>
      </w:r>
      <w:proofErr w:type="gramStart"/>
      <w:r w:rsidR="00B63DCD" w:rsidRPr="00CC2A95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proofErr w:type="gramEnd"/>
      <w:r w:rsidR="00B63DCD" w:rsidRPr="00CC2A95">
        <w:rPr>
          <w:rFonts w:ascii="Times New Roman" w:hAnsi="Times New Roman" w:cs="Times New Roman"/>
          <w:sz w:val="28"/>
          <w:szCs w:val="28"/>
          <w:lang w:val="uk-UA"/>
        </w:rPr>
        <w:t>ілокриницької сіл</w:t>
      </w:r>
      <w:r w:rsidR="00D1000E" w:rsidRPr="00CC2A9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B63DCD" w:rsidRPr="00CC2A95">
        <w:rPr>
          <w:rFonts w:ascii="Times New Roman" w:hAnsi="Times New Roman" w:cs="Times New Roman"/>
          <w:sz w:val="28"/>
          <w:szCs w:val="28"/>
          <w:lang w:val="uk-UA"/>
        </w:rPr>
        <w:t xml:space="preserve">ської ради </w:t>
      </w:r>
      <w:r w:rsidR="00D1000E" w:rsidRPr="00CC2A9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1000E" w:rsidRPr="00CC2A95">
        <w:rPr>
          <w:rFonts w:ascii="Times New Roman" w:hAnsi="Times New Roman" w:cs="Times New Roman"/>
          <w:sz w:val="28"/>
          <w:szCs w:val="28"/>
        </w:rPr>
        <w:t xml:space="preserve"> скликання.</w:t>
      </w:r>
    </w:p>
    <w:p w:rsidR="00B65D46" w:rsidRPr="00CC2A95" w:rsidRDefault="00B65D46" w:rsidP="00F77FD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77FD6" w:rsidRDefault="00702EA0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C2A9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A31998" w:rsidRDefault="00702EA0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C2A95">
        <w:rPr>
          <w:rFonts w:ascii="Times New Roman" w:hAnsi="Times New Roman" w:cs="Times New Roman"/>
          <w:b/>
          <w:i/>
          <w:sz w:val="28"/>
          <w:szCs w:val="28"/>
        </w:rPr>
        <w:t>Сільський голова</w:t>
      </w:r>
      <w:r w:rsidRPr="00CC2A95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</w:t>
      </w:r>
      <w:r w:rsidR="000E458A" w:rsidRPr="00CC2A9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</w:t>
      </w:r>
      <w:r w:rsidR="00F77FD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</w:t>
      </w:r>
      <w:r w:rsidR="000E458A" w:rsidRPr="00CC2A9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 w:rsidRPr="00CC2A95">
        <w:rPr>
          <w:rFonts w:ascii="Times New Roman" w:hAnsi="Times New Roman" w:cs="Times New Roman"/>
          <w:b/>
          <w:i/>
          <w:sz w:val="28"/>
          <w:szCs w:val="28"/>
        </w:rPr>
        <w:t xml:space="preserve"> Т. Гончар</w:t>
      </w:r>
      <w:r w:rsidRPr="00CC2A95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6C6657" w:rsidRPr="00CC2A95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</w:p>
    <w:p w:rsidR="00D31A1F" w:rsidRDefault="00D31A1F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31A1F" w:rsidRDefault="00D31A1F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10DD5" w:rsidRPr="00CC2A95" w:rsidRDefault="00310DD5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31A1F" w:rsidRDefault="00D31A1F" w:rsidP="00D31A1F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D31A1F" w:rsidRDefault="00D31A1F" w:rsidP="00D31A1F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 підсумки</w:t>
      </w:r>
      <w:r w:rsidRPr="00CC2A9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подання електронних декларацій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осіб, </w:t>
      </w:r>
    </w:p>
    <w:p w:rsidR="00D31A1F" w:rsidRPr="00CC2A95" w:rsidRDefault="00D31A1F" w:rsidP="00D31A1F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уповноважених на виконання функцій держави або місцевого самоврядування за 2017 рік</w:t>
      </w:r>
    </w:p>
    <w:p w:rsidR="008163F2" w:rsidRDefault="008163F2" w:rsidP="00BB0428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B0428" w:rsidRDefault="00BB0428" w:rsidP="00BB0428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AB04DE" w:rsidRDefault="006E765B" w:rsidP="00AB04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6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до статті 45 Закону України «Про запобігання корупції» (далі - Закон) особи, зазначені у</w:t>
      </w:r>
      <w:r w:rsidRPr="006E76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anchor="n26" w:history="1">
        <w:r w:rsidRPr="006E765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пункті 1</w:t>
        </w:r>
      </w:hyperlink>
      <w:r w:rsidRPr="006E76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6E76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anchor="n38" w:history="1">
        <w:r w:rsidRPr="006E765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підпунктах «а»</w:t>
        </w:r>
      </w:hyperlink>
      <w:r w:rsidRPr="006E76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E76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6E76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anchor="n1061" w:history="1">
        <w:r w:rsidRPr="006E765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«в»</w:t>
        </w:r>
      </w:hyperlink>
      <w:r w:rsidRPr="006E76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E76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пункту 2, пункті 5 частини першої статті 3 Закону, зобов’язані</w:t>
      </w:r>
      <w:r w:rsidRPr="006E76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E765B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щорічно до 1 квітня</w:t>
      </w:r>
      <w:r w:rsidRPr="006E76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E76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подавати шляхом заповнення на офіційному веб-сайті Національного агентства</w:t>
      </w:r>
      <w:r w:rsidRPr="006E76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anchor="n4" w:history="1">
        <w:r w:rsidRPr="006E765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декларацію</w:t>
        </w:r>
      </w:hyperlink>
      <w:r w:rsidRPr="006E765B">
        <w:rPr>
          <w:rFonts w:ascii="Times New Roman" w:hAnsi="Times New Roman" w:cs="Times New Roman"/>
          <w:sz w:val="28"/>
          <w:szCs w:val="28"/>
          <w:shd w:val="clear" w:color="auto" w:fill="FFFFFF"/>
        </w:rPr>
        <w:t> особи, уповноваженої на виконання функцій держави або місцевого самоврядування (далі - декларація), за минулий рік за формою, що визначається Національним агентством.</w:t>
      </w:r>
      <w:r w:rsidR="00AB04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B04DE">
        <w:rPr>
          <w:rFonts w:ascii="Times New Roman" w:hAnsi="Times New Roman" w:cs="Times New Roman"/>
          <w:sz w:val="28"/>
          <w:szCs w:val="28"/>
          <w:lang w:val="uk-UA"/>
        </w:rPr>
        <w:t>Відповідно до підпункту «б» п.1 ч.1 ст.3 Закону, депутати місцевих рад відносяться до суб’єктів, на яких поширюється дія цього Закону.</w:t>
      </w:r>
    </w:p>
    <w:p w:rsidR="00BB0428" w:rsidRDefault="00AB04DE" w:rsidP="00BB04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Врахувавши дані єдиного державного реєстру декларацій осіб</w:t>
      </w:r>
      <w:r w:rsidRPr="00CC2A95">
        <w:rPr>
          <w:rFonts w:ascii="Times New Roman" w:hAnsi="Times New Roman" w:cs="Times New Roman"/>
          <w:sz w:val="28"/>
          <w:szCs w:val="28"/>
          <w:lang w:val="uk-UA"/>
        </w:rPr>
        <w:t>, уповноважен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CC2A95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функцій держави або місцевого самоврядування</w:t>
      </w:r>
      <w:r w:rsidR="00BB0428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12.04.2018 року всі 22 депутати Білокриницької сільської ради                    IV скликання подали щорічні електронні декларації за 2017 рік. З них:</w:t>
      </w:r>
    </w:p>
    <w:p w:rsidR="00BB0428" w:rsidRDefault="00BB0428" w:rsidP="00BB042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 депутатів подали декларації вчасно, згідно встановлених термінів.</w:t>
      </w:r>
    </w:p>
    <w:p w:rsidR="00BB0428" w:rsidRDefault="00BB0428" w:rsidP="00BB042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депутати несвоєчасно у зв’язку із технічними проблемами у роботі сайту.</w:t>
      </w:r>
    </w:p>
    <w:p w:rsidR="00BB0428" w:rsidRDefault="00BB0428" w:rsidP="00BB0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428">
        <w:rPr>
          <w:rFonts w:ascii="Times New Roman" w:hAnsi="Times New Roman" w:cs="Times New Roman"/>
          <w:sz w:val="28"/>
          <w:szCs w:val="28"/>
          <w:lang w:val="uk-UA"/>
        </w:rPr>
        <w:t>Відповідно до порядку здійснення 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інформування Національного агентства про виявлені факти неподання або несвоєчасного подання електронних декларацій, органом місцевої влади направлено до НАЗК два повідомлення про виявлені факти несвоєчасного подання щорічних електронних декларацій.</w:t>
      </w:r>
    </w:p>
    <w:p w:rsidR="00BB0428" w:rsidRDefault="00BB0428" w:rsidP="00BB0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Депутати Білокриницької сільської ради  IV скликання, які не несвоєчасно подали електронні декларації</w:t>
      </w:r>
      <w:r w:rsidR="0014724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повідомлені про виявлення таких фактів</w:t>
      </w:r>
      <w:r w:rsidR="00147244">
        <w:rPr>
          <w:rFonts w:ascii="Times New Roman" w:hAnsi="Times New Roman" w:cs="Times New Roman"/>
          <w:sz w:val="28"/>
          <w:szCs w:val="28"/>
          <w:lang w:val="uk-UA"/>
        </w:rPr>
        <w:t>, депутатам надані рекомендації щодо неухильного контролю за виконанням антикорупційного законодавства, зокрема в розрізі подання електронних декларацій.</w:t>
      </w:r>
    </w:p>
    <w:p w:rsidR="00BB0428" w:rsidRDefault="00BB0428" w:rsidP="00BB0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428" w:rsidRDefault="00BB0428" w:rsidP="00BB0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428" w:rsidRDefault="00BB0428" w:rsidP="00BB0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428" w:rsidRDefault="00BB0428" w:rsidP="00BB04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BB0428"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 w:rsidRPr="00BB042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секретаря ради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</w:t>
      </w:r>
      <w:r w:rsidRPr="00BB0428">
        <w:rPr>
          <w:rFonts w:ascii="Times New Roman" w:hAnsi="Times New Roman" w:cs="Times New Roman"/>
          <w:b/>
          <w:i/>
          <w:sz w:val="28"/>
          <w:szCs w:val="28"/>
          <w:lang w:val="uk-UA"/>
        </w:rPr>
        <w:t>О. Казмірчук</w:t>
      </w:r>
    </w:p>
    <w:p w:rsidR="00310DD5" w:rsidRDefault="00310DD5" w:rsidP="00BB04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10DD5" w:rsidRDefault="00310DD5" w:rsidP="00BB04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10DD5" w:rsidRDefault="00310DD5" w:rsidP="00BB04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10DD5" w:rsidRDefault="00310DD5" w:rsidP="00BB04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10DD5" w:rsidRDefault="00310DD5" w:rsidP="00BB04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10DD5" w:rsidRDefault="00310DD5" w:rsidP="00BB04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10DD5" w:rsidRDefault="00310DD5" w:rsidP="00BB04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10DD5" w:rsidRDefault="00310DD5" w:rsidP="00BB04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10DD5" w:rsidRDefault="00310DD5" w:rsidP="00BB04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10DD5" w:rsidRDefault="00310DD5" w:rsidP="00BB04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10DD5" w:rsidRDefault="00310DD5" w:rsidP="00BB04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10DD5" w:rsidRDefault="00310DD5" w:rsidP="00310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Пленарне засідання двадцять шостої  позачергової сесії </w:t>
      </w:r>
    </w:p>
    <w:p w:rsidR="00310DD5" w:rsidRDefault="00310DD5" w:rsidP="00310DD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310DD5" w:rsidRDefault="00310DD5" w:rsidP="00310DD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10DD5" w:rsidRDefault="00310DD5" w:rsidP="00310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24  квітня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310DD5" w:rsidRDefault="00310DD5" w:rsidP="00310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310DD5" w:rsidRDefault="00310DD5" w:rsidP="00310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поіменного голосування з питання:</w:t>
      </w:r>
    </w:p>
    <w:p w:rsidR="00310DD5" w:rsidRDefault="00310DD5" w:rsidP="00310DD5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CC2A9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ідсумки</w:t>
      </w:r>
      <w:r w:rsidRPr="00CC2A9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подання </w:t>
      </w:r>
      <w:r w:rsidRPr="00CC2A95">
        <w:rPr>
          <w:rFonts w:ascii="Times New Roman" w:hAnsi="Times New Roman" w:cs="Times New Roman"/>
          <w:b/>
          <w:i/>
          <w:sz w:val="28"/>
          <w:szCs w:val="28"/>
          <w:lang w:val="uk-UA"/>
        </w:rPr>
        <w:t>електронних декларацій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осіб, уповноважених</w:t>
      </w:r>
    </w:p>
    <w:p w:rsidR="00310DD5" w:rsidRPr="007433FE" w:rsidRDefault="00310DD5" w:rsidP="00310DD5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 виконання функцій держави або місцевого самоврядування за 2017 рік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848"/>
      </w:tblGrid>
      <w:tr w:rsidR="00310DD5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310DD5" w:rsidRDefault="00310DD5" w:rsidP="001D3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ізвище, ім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 приймав участь в голосуванні</w:t>
            </w:r>
          </w:p>
        </w:tc>
      </w:tr>
      <w:tr w:rsidR="00310DD5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D5" w:rsidRDefault="00310DD5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D5" w:rsidRDefault="00310DD5" w:rsidP="001D3F8F">
            <w:pPr>
              <w:spacing w:after="0"/>
            </w:pPr>
          </w:p>
        </w:tc>
      </w:tr>
      <w:tr w:rsidR="00310DD5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D5" w:rsidRDefault="00310DD5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10DD5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D5" w:rsidRDefault="00310DD5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10DD5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D5" w:rsidRDefault="00310DD5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10DD5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D5" w:rsidRDefault="00310DD5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10DD5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D5" w:rsidRPr="00D92198" w:rsidRDefault="00310DD5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10DD5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D5" w:rsidRDefault="00310DD5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10DD5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D5" w:rsidRDefault="00310DD5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10DD5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D5" w:rsidRDefault="00310DD5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10DD5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D5" w:rsidRDefault="00310DD5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10DD5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D5" w:rsidRDefault="00310DD5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10DD5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D5" w:rsidRDefault="00310DD5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10DD5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D5" w:rsidRDefault="00310DD5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10DD5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D5" w:rsidRPr="007433FE" w:rsidRDefault="00310DD5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10DD5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D5" w:rsidRDefault="00310DD5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10DD5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D5" w:rsidRDefault="00310DD5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10DD5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D5" w:rsidRDefault="00310DD5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10DD5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D5" w:rsidRDefault="00310DD5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10DD5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D5" w:rsidRPr="00A46762" w:rsidRDefault="00310DD5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10DD5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D5" w:rsidRDefault="00310DD5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10DD5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D5" w:rsidRDefault="00310DD5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10DD5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D5" w:rsidRDefault="00310DD5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10DD5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D5" w:rsidRDefault="00310DD5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310DD5" w:rsidTr="001D3F8F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D5" w:rsidRDefault="00310DD5" w:rsidP="001D3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D5" w:rsidRDefault="00310DD5" w:rsidP="0031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5" w:rsidRDefault="00310DD5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D5" w:rsidRPr="00A46762" w:rsidRDefault="00310DD5" w:rsidP="001D3F8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310DD5" w:rsidRDefault="00310DD5" w:rsidP="00310DD5">
      <w:pPr>
        <w:spacing w:after="0" w:line="240" w:lineRule="auto"/>
        <w:rPr>
          <w:rFonts w:ascii="Times New Roman" w:hAnsi="Times New Roman"/>
          <w:lang w:val="uk-UA"/>
        </w:rPr>
      </w:pPr>
    </w:p>
    <w:p w:rsidR="00310DD5" w:rsidRDefault="00310DD5" w:rsidP="00310D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310DD5" w:rsidRDefault="00310DD5" w:rsidP="00310D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310DD5" w:rsidRDefault="00310DD5" w:rsidP="00310D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«утримався»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310DD5" w:rsidRDefault="00310DD5" w:rsidP="00310D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голосував»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310DD5" w:rsidRDefault="00310DD5" w:rsidP="00310DD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10DD5" w:rsidRDefault="00310DD5" w:rsidP="00310DD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310DD5" w:rsidRDefault="00310DD5" w:rsidP="00310D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Голова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   ____________________</w:t>
      </w:r>
    </w:p>
    <w:p w:rsidR="00310DD5" w:rsidRDefault="00310DD5" w:rsidP="00310D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____________________</w:t>
      </w:r>
    </w:p>
    <w:p w:rsidR="00310DD5" w:rsidRPr="008264E0" w:rsidRDefault="00310DD5" w:rsidP="00310D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>Член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       ____________________</w:t>
      </w:r>
    </w:p>
    <w:p w:rsidR="00BB0428" w:rsidRPr="00BB0428" w:rsidRDefault="00BB0428" w:rsidP="00BB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A1F" w:rsidRPr="00AB04DE" w:rsidRDefault="00D31A1F" w:rsidP="006E765B">
      <w:pPr>
        <w:shd w:val="clear" w:color="auto" w:fill="FFFFFF"/>
        <w:spacing w:after="0" w:line="200" w:lineRule="atLeast"/>
        <w:ind w:left="-142" w:firstLine="851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sectPr w:rsidR="00D31A1F" w:rsidRPr="00AB04DE" w:rsidSect="00D31A1F">
      <w:pgSz w:w="11906" w:h="16838"/>
      <w:pgMar w:top="851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2A54"/>
    <w:multiLevelType w:val="hybridMultilevel"/>
    <w:tmpl w:val="A7D65D08"/>
    <w:lvl w:ilvl="0" w:tplc="58DC45EA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</w:lvl>
    <w:lvl w:ilvl="1" w:tplc="8BE422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21BD4"/>
    <w:multiLevelType w:val="hybridMultilevel"/>
    <w:tmpl w:val="7FAECA4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85268FE"/>
    <w:multiLevelType w:val="hybridMultilevel"/>
    <w:tmpl w:val="3E0CA30E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42249"/>
    <w:multiLevelType w:val="hybridMultilevel"/>
    <w:tmpl w:val="09520990"/>
    <w:lvl w:ilvl="0" w:tplc="21F4D2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C3279C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">
    <w:nsid w:val="5F017B30"/>
    <w:multiLevelType w:val="hybridMultilevel"/>
    <w:tmpl w:val="D458D2D0"/>
    <w:lvl w:ilvl="0" w:tplc="093C9C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24078"/>
    <w:multiLevelType w:val="hybridMultilevel"/>
    <w:tmpl w:val="F8962A9A"/>
    <w:lvl w:ilvl="0" w:tplc="01E2AE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E2C44EC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8">
    <w:nsid w:val="7EF013A6"/>
    <w:multiLevelType w:val="hybridMultilevel"/>
    <w:tmpl w:val="EE38A188"/>
    <w:lvl w:ilvl="0" w:tplc="01E2AE1E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02EA0"/>
    <w:rsid w:val="00001FE4"/>
    <w:rsid w:val="00054EA0"/>
    <w:rsid w:val="00055AA3"/>
    <w:rsid w:val="000619A0"/>
    <w:rsid w:val="000D2883"/>
    <w:rsid w:val="000E458A"/>
    <w:rsid w:val="000E6080"/>
    <w:rsid w:val="0011512A"/>
    <w:rsid w:val="00147244"/>
    <w:rsid w:val="00191635"/>
    <w:rsid w:val="001E1137"/>
    <w:rsid w:val="001E4DE2"/>
    <w:rsid w:val="001F173C"/>
    <w:rsid w:val="002310AA"/>
    <w:rsid w:val="00240650"/>
    <w:rsid w:val="00267465"/>
    <w:rsid w:val="00274895"/>
    <w:rsid w:val="00283B35"/>
    <w:rsid w:val="002C2A07"/>
    <w:rsid w:val="00303F2B"/>
    <w:rsid w:val="00310DD5"/>
    <w:rsid w:val="00352CE9"/>
    <w:rsid w:val="0035707A"/>
    <w:rsid w:val="00362F4D"/>
    <w:rsid w:val="003A4CF0"/>
    <w:rsid w:val="003C45E4"/>
    <w:rsid w:val="003E182C"/>
    <w:rsid w:val="003E3107"/>
    <w:rsid w:val="00407D5C"/>
    <w:rsid w:val="00410BB9"/>
    <w:rsid w:val="004177A0"/>
    <w:rsid w:val="0042026E"/>
    <w:rsid w:val="004430DE"/>
    <w:rsid w:val="004D2A2C"/>
    <w:rsid w:val="004D4BAA"/>
    <w:rsid w:val="004F7A48"/>
    <w:rsid w:val="00517FBC"/>
    <w:rsid w:val="00535DEA"/>
    <w:rsid w:val="0055307E"/>
    <w:rsid w:val="00571884"/>
    <w:rsid w:val="00592240"/>
    <w:rsid w:val="005B4E4B"/>
    <w:rsid w:val="005D63E9"/>
    <w:rsid w:val="005E18BA"/>
    <w:rsid w:val="005F345F"/>
    <w:rsid w:val="006416E5"/>
    <w:rsid w:val="0069331A"/>
    <w:rsid w:val="006B52DA"/>
    <w:rsid w:val="006C6657"/>
    <w:rsid w:val="006E16C1"/>
    <w:rsid w:val="006E2809"/>
    <w:rsid w:val="006E765B"/>
    <w:rsid w:val="006F63DF"/>
    <w:rsid w:val="00702EA0"/>
    <w:rsid w:val="00706CC9"/>
    <w:rsid w:val="00737F14"/>
    <w:rsid w:val="00775CD8"/>
    <w:rsid w:val="007D2F1D"/>
    <w:rsid w:val="007E0EAE"/>
    <w:rsid w:val="0080313C"/>
    <w:rsid w:val="008163F2"/>
    <w:rsid w:val="00852B2D"/>
    <w:rsid w:val="008702CC"/>
    <w:rsid w:val="00883F0E"/>
    <w:rsid w:val="008E0448"/>
    <w:rsid w:val="008F2D67"/>
    <w:rsid w:val="009677B3"/>
    <w:rsid w:val="00993707"/>
    <w:rsid w:val="009A7B9C"/>
    <w:rsid w:val="00A133C7"/>
    <w:rsid w:val="00A16222"/>
    <w:rsid w:val="00A31998"/>
    <w:rsid w:val="00A336D0"/>
    <w:rsid w:val="00A40597"/>
    <w:rsid w:val="00A844DE"/>
    <w:rsid w:val="00AA3579"/>
    <w:rsid w:val="00AA7F30"/>
    <w:rsid w:val="00AB04DE"/>
    <w:rsid w:val="00AE38A6"/>
    <w:rsid w:val="00AF2A3A"/>
    <w:rsid w:val="00B027A8"/>
    <w:rsid w:val="00B14635"/>
    <w:rsid w:val="00B269B9"/>
    <w:rsid w:val="00B32DAA"/>
    <w:rsid w:val="00B46A24"/>
    <w:rsid w:val="00B63DCD"/>
    <w:rsid w:val="00B65D46"/>
    <w:rsid w:val="00B70E69"/>
    <w:rsid w:val="00BB0428"/>
    <w:rsid w:val="00BC3642"/>
    <w:rsid w:val="00C27228"/>
    <w:rsid w:val="00C71A24"/>
    <w:rsid w:val="00C81788"/>
    <w:rsid w:val="00CC2A95"/>
    <w:rsid w:val="00CF7889"/>
    <w:rsid w:val="00D1000E"/>
    <w:rsid w:val="00D24E59"/>
    <w:rsid w:val="00D26027"/>
    <w:rsid w:val="00D31A1F"/>
    <w:rsid w:val="00DC4FAF"/>
    <w:rsid w:val="00E05C29"/>
    <w:rsid w:val="00E92E3D"/>
    <w:rsid w:val="00EB515E"/>
    <w:rsid w:val="00EF7CA9"/>
    <w:rsid w:val="00F77FD6"/>
    <w:rsid w:val="00F958F5"/>
    <w:rsid w:val="00FB0455"/>
    <w:rsid w:val="00FC4670"/>
    <w:rsid w:val="00FE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702EA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0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EA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3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31998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character" w:customStyle="1" w:styleId="apple-converted-space">
    <w:name w:val="apple-converted-space"/>
    <w:basedOn w:val="a0"/>
    <w:rsid w:val="00A31998"/>
  </w:style>
  <w:style w:type="character" w:styleId="a8">
    <w:name w:val="Strong"/>
    <w:basedOn w:val="a0"/>
    <w:uiPriority w:val="22"/>
    <w:qFormat/>
    <w:rsid w:val="001F173C"/>
    <w:rPr>
      <w:b/>
      <w:bCs/>
    </w:rPr>
  </w:style>
  <w:style w:type="character" w:styleId="a9">
    <w:name w:val="Hyperlink"/>
    <w:basedOn w:val="a0"/>
    <w:uiPriority w:val="99"/>
    <w:semiHidden/>
    <w:unhideWhenUsed/>
    <w:rsid w:val="001F173C"/>
    <w:rPr>
      <w:color w:val="0000FF"/>
      <w:u w:val="single"/>
    </w:rPr>
  </w:style>
  <w:style w:type="table" w:styleId="aa">
    <w:name w:val="Table Grid"/>
    <w:basedOn w:val="a1"/>
    <w:uiPriority w:val="59"/>
    <w:rsid w:val="00AE3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E9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1700-18/print1477485239874278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5.rada.gov.ua/laws/show/1700-18/print147748523987427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kon5.rada.gov.ua/laws/show/z0960-16/paran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5.rada.gov.ua/laws/show/1700-18/print1477485239874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7CF7E-40E0-4909-9980-190F1714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83</cp:revision>
  <cp:lastPrinted>2018-04-25T11:10:00Z</cp:lastPrinted>
  <dcterms:created xsi:type="dcterms:W3CDTF">2016-03-18T13:07:00Z</dcterms:created>
  <dcterms:modified xsi:type="dcterms:W3CDTF">2018-04-25T11:22:00Z</dcterms:modified>
</cp:coreProperties>
</file>