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17" w:rsidRDefault="00D34217" w:rsidP="00D342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17" w:rsidRDefault="00D34217" w:rsidP="00D3421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34217" w:rsidRDefault="00D34217" w:rsidP="00D342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34217" w:rsidRDefault="00D34217" w:rsidP="00D342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34217" w:rsidRDefault="00D34217" w:rsidP="00D3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34217" w:rsidRDefault="00D34217" w:rsidP="00D34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217" w:rsidRDefault="00D34217" w:rsidP="00D3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D34217" w:rsidRDefault="00D34217" w:rsidP="00D342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D34217" w:rsidRDefault="00D34217" w:rsidP="00D34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</w:t>
      </w:r>
      <w:r w:rsidR="001C36C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1C36C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1C36C3" w:rsidRPr="001C36C3">
        <w:rPr>
          <w:rFonts w:ascii="Times New Roman" w:hAnsi="Times New Roman"/>
          <w:b/>
          <w:sz w:val="28"/>
          <w:szCs w:val="28"/>
          <w:u w:val="single"/>
          <w:lang w:val="uk-UA"/>
        </w:rPr>
        <w:t>71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D34217" w:rsidRDefault="00D34217" w:rsidP="00D3421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4217" w:rsidRDefault="00D34217" w:rsidP="00D34217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 щодо реалізації Стратегії подолання бідності на території Білокриницької сільської ради на  2019 рік </w:t>
      </w:r>
    </w:p>
    <w:p w:rsidR="00D34217" w:rsidRDefault="00D34217" w:rsidP="00D3421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4217" w:rsidRDefault="00D34217" w:rsidP="00D34217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4217" w:rsidRDefault="00D34217" w:rsidP="00D34217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Кабінету Міністрів України від 20 лютого 2019 року № 86-р «Про затвердження плану заходів на 2019 рік з реалізації Стратегії подолання бі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ності»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>
        <w:rPr>
          <w:rFonts w:ascii="Times New Roman" w:hAnsi="Times New Roman" w:cs="Times New Roman"/>
          <w:sz w:val="28"/>
          <w:szCs w:val="28"/>
          <w:lang w:val="uk-UA"/>
        </w:rPr>
        <w:t>а виконання розпорядження голови районної державної адміністрації від 16 квітня 2019 року №160 « Про план заходів на 2019 рік з реалізації у Рівненському районі Стратегії подолання бідності», виконавчий комітет Білокриницької сільської ради</w:t>
      </w:r>
    </w:p>
    <w:p w:rsidR="006E060D" w:rsidRDefault="006E060D" w:rsidP="00D3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217" w:rsidRDefault="00D34217" w:rsidP="00D3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34217" w:rsidRDefault="00D34217" w:rsidP="00D3421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D34217" w:rsidRDefault="00D34217" w:rsidP="00D342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 щодо реалізації 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подолання бідності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 xml:space="preserve">на 2019 рік,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D34217" w:rsidRDefault="006E060D" w:rsidP="00D342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заходів</w:t>
      </w:r>
      <w:r w:rsidR="00D34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217" w:rsidRDefault="00D34217" w:rsidP="00D342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34217" w:rsidRDefault="00D34217" w:rsidP="00D342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42383C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 та </w:t>
      </w:r>
      <w:r w:rsidR="006E060D">
        <w:rPr>
          <w:rFonts w:ascii="Times New Roman" w:hAnsi="Times New Roman" w:cs="Times New Roman"/>
          <w:sz w:val="28"/>
          <w:szCs w:val="28"/>
          <w:lang w:val="uk-UA"/>
        </w:rPr>
        <w:t>спеціаліста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217" w:rsidRDefault="00D34217" w:rsidP="00D3421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060D" w:rsidRDefault="006E060D" w:rsidP="00D3421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060D" w:rsidRDefault="006E060D" w:rsidP="00D3421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4217" w:rsidRDefault="00D34217" w:rsidP="00D3421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4217" w:rsidRDefault="00D34217" w:rsidP="00D342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E060D" w:rsidRDefault="006E060D" w:rsidP="00D3421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55247" w:rsidRDefault="00F55247" w:rsidP="00D3421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D34217" w:rsidRDefault="00D34217" w:rsidP="00D3421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«21» лютого 2019 р.№ 25</w:t>
      </w:r>
    </w:p>
    <w:p w:rsidR="00D34217" w:rsidRDefault="00D34217" w:rsidP="00D3421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34217" w:rsidRDefault="00D34217" w:rsidP="006E0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6E060D" w:rsidRDefault="00D34217" w:rsidP="006E0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="006E060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реалізації Стратегії подолання бідності на території Білокриницької сільської ради на  2019 рік</w:t>
      </w:r>
    </w:p>
    <w:p w:rsidR="00D34217" w:rsidRDefault="00D34217" w:rsidP="00D34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813"/>
        <w:gridCol w:w="2835"/>
        <w:gridCol w:w="992"/>
        <w:gridCol w:w="1843"/>
      </w:tblGrid>
      <w:tr w:rsidR="006E060D" w:rsidTr="00316970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стосовного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6E060D" w:rsidTr="00316970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6A3646" w:rsidTr="00316970">
        <w:trPr>
          <w:trHeight w:val="3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6" w:rsidRDefault="006A3646" w:rsidP="006A3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A364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доступу до продуктивної зайнятості, сприяння зростанню доходів населення від зайнятості виплат у системі державного соціального страхування для забезпечення умов гідної праці. Підвищення дієвої політики зайнятості</w:t>
            </w:r>
          </w:p>
        </w:tc>
      </w:tr>
      <w:tr w:rsidR="006E060D" w:rsidTr="00316970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Pr="00316970" w:rsidRDefault="006E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Запобігання довготривалому безробіттю в результаті залучення зареєстрованих безробітних до активних заходів на ринку праці, зокрема шляхом:</w:t>
            </w:r>
          </w:p>
          <w:p w:rsidR="007C1DB1" w:rsidRPr="00316970" w:rsidRDefault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C1DB1"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 заходів із психологічної підтримки найбільш вразливих категорій осіб для підвищення рівня інтеграції на ринку праці у результаті надання інформаційних, консультаційних, профорієнтаційних послуг та соціальної реабілітації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316970" w:rsidRDefault="00316970" w:rsidP="007C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7C1DB1"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абезпечення індивідуального супроводу окремих категорій безробітних, зокрема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316970" w:rsidRDefault="007C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772FD8" w:rsidRDefault="0077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2F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Керівництво підприємств, установ, організацій, депутати, члени викового комітету</w:t>
            </w:r>
          </w:p>
        </w:tc>
      </w:tr>
      <w:tr w:rsidR="006A3646" w:rsidTr="006A3646">
        <w:trPr>
          <w:trHeight w:val="20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6" w:rsidRPr="006A3646" w:rsidRDefault="006A3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6A364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Підвищення мобільності робочої сили на ринку праці</w:t>
            </w:r>
          </w:p>
        </w:tc>
      </w:tr>
      <w:tr w:rsidR="006E060D" w:rsidTr="00316970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Pr="007C1DB1" w:rsidRDefault="007C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1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Запровадження ефективних зайнятості сільського населення у результаті створення гнучкої навчальної мережі з питань ведення малого бізнесу, запровадження державної підтримки розвитку сімейного бізнесу в сільській місцевості ( фінансової, юридичної, адміністративно-консультаційної тощо)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6A3646" w:rsidRDefault="007C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за участю працівників органів державної влади, державної служби</w:t>
            </w:r>
            <w:r w:rsidR="006A3646" w:rsidRPr="006A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зайнятості інформаційних та консультаційних послуг сільському населенню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316970" w:rsidRDefault="006E060D" w:rsidP="006A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911CBF" w:rsidRDefault="00882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Орган місцевого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самоврядуання</w:t>
            </w:r>
            <w:proofErr w:type="spellEnd"/>
          </w:p>
        </w:tc>
      </w:tr>
      <w:tr w:rsidR="006E060D" w:rsidTr="00316970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Pr="006A3646" w:rsidRDefault="006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та місцевому рівні мережі спеціалізованих консультаційних центрів з питань організації та ведення власної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6A3646" w:rsidRDefault="006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утворенню та ефективній діяльності спеціалізованих консультаційних центрів з питань організації та ведення власної справи на базі центрів зайнятості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316970" w:rsidRDefault="006A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772FD8" w:rsidRDefault="0077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2F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6A3646" w:rsidTr="006A3646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6" w:rsidRPr="006A3646" w:rsidRDefault="006A3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6A364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Активне сприяння </w:t>
            </w:r>
            <w:proofErr w:type="spellStart"/>
            <w:r w:rsidRPr="006A364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детінізації</w:t>
            </w:r>
            <w:proofErr w:type="spellEnd"/>
            <w:r w:rsidRPr="006A364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зайнятості та доходів населення</w:t>
            </w:r>
          </w:p>
        </w:tc>
      </w:tr>
      <w:tr w:rsidR="006E060D" w:rsidRPr="00B30BD7" w:rsidTr="00316970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6E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Pr="00911CBF" w:rsidRDefault="006A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1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Підвищення ефективності та результативності соціального діалогу між державою, </w:t>
            </w:r>
            <w:r w:rsidR="00911CBF" w:rsidRPr="00911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профспілками та організаціями роботодавців з питань формування та реалізації соціальної політики, регулювання трудових відносин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911CBF" w:rsidRDefault="00911CBF" w:rsidP="00911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1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Активізація роботи територіальної тристоронньої соціально-економічної ради, сприяння утворенню та ефективній діяльності тристоронніх та двосторонніх соціально-економічних рад, зокрема в рамках реалізації проекту Міжнародної організації праці Інклюзивний ринок праці створення нових робочих місць в Україні»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316970" w:rsidRDefault="0091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911CBF" w:rsidRDefault="0077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772F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911CBF" w:rsidTr="00911CBF">
        <w:trPr>
          <w:trHeight w:val="47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F" w:rsidRPr="00911CBF" w:rsidRDefault="00911CBF" w:rsidP="00733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911CB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Забезпечення доступу населення до послуг соціальної сфери належно від місця проживання, мінімізація ризиків соціального відчуження сільського населення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Забезпечення доступності послуг </w:t>
            </w:r>
            <w:r w:rsidR="0073368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соціальної сфери для населення належного від місця проживання.</w:t>
            </w:r>
          </w:p>
        </w:tc>
      </w:tr>
      <w:tr w:rsidR="006E060D" w:rsidRPr="00B30BD7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D" w:rsidRPr="00911CBF" w:rsidRDefault="00911CBF" w:rsidP="00733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1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Підвищення рівня доступу, якості та своєчасності надання медичних послуг для населення </w:t>
            </w:r>
            <w:r w:rsidR="007337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території Білокриницької сільської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Default="00911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336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проведення моніторингу рівня доступності послуг </w:t>
            </w:r>
            <w:r w:rsidR="00733688" w:rsidRPr="007336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медичного обслуговування населення (медичних послуг).</w:t>
            </w:r>
          </w:p>
          <w:p w:rsidR="00733688" w:rsidRPr="00733688" w:rsidRDefault="0073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проведення моніторингу рівня відшкодування вартості лікарських засобів.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88" w:rsidRPr="00733688" w:rsidRDefault="0073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336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Червень</w:t>
            </w:r>
          </w:p>
          <w:p w:rsidR="00733688" w:rsidRPr="00733688" w:rsidRDefault="0073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E060D" w:rsidRDefault="0073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6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грудень</w:t>
            </w:r>
            <w:r w:rsidR="006E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0D" w:rsidRPr="007A2968" w:rsidRDefault="007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A29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 місцевого самоврядування</w:t>
            </w:r>
          </w:p>
        </w:tc>
      </w:tr>
      <w:tr w:rsidR="00733688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88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88" w:rsidRPr="00733688" w:rsidRDefault="00EE3FA6" w:rsidP="00EE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соціальних послуг, в тому числі у сільській місцевості, з урахуванням потреб територіальних громад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88" w:rsidRPr="00733688" w:rsidRDefault="00EE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Запровадження для мешканців громади інноваційних послуг, що є альтернативними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інтернатному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догляду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88" w:rsidRPr="00316970" w:rsidRDefault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</w:t>
            </w:r>
            <w:r w:rsidR="00EE3FA6"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E3FA6"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88" w:rsidRPr="007A2968" w:rsidRDefault="007A2968" w:rsidP="007A29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FD79F9" w:rsidRPr="007A2968" w:rsidTr="00C733DF">
        <w:trPr>
          <w:trHeight w:val="8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F9" w:rsidRPr="00304D3E" w:rsidRDefault="00FD79F9" w:rsidP="007A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D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Сприяння у наданні </w:t>
            </w:r>
            <w:r w:rsid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</w:t>
            </w:r>
            <w:r w:rsidRPr="00304D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закладами культури у сільських населених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Default="00FD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культурно-мистецьких заходів, виставок, лекцій, бесід.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Pr="00316970" w:rsidRDefault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68" w:rsidRPr="007A2968" w:rsidRDefault="007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</w:t>
            </w:r>
            <w:proofErr w:type="spellStart"/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Нестерчук</w:t>
            </w:r>
            <w:proofErr w:type="spellEnd"/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FD79F9" w:rsidRPr="00316970" w:rsidRDefault="007A2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О. </w:t>
            </w:r>
            <w:proofErr w:type="spellStart"/>
            <w:r w:rsidRPr="007A29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Морозюк</w:t>
            </w:r>
            <w:proofErr w:type="spellEnd"/>
          </w:p>
        </w:tc>
      </w:tr>
      <w:tr w:rsidR="00304D3E" w:rsidRPr="007A2968" w:rsidTr="00304D3E">
        <w:trPr>
          <w:trHeight w:val="23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3E" w:rsidRPr="00316970" w:rsidRDefault="00304D3E" w:rsidP="00304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Сприяння ініціативності громад у розв’язанні найгостріших соціальних проблем та запобігання бідності</w:t>
            </w:r>
          </w:p>
        </w:tc>
      </w:tr>
      <w:tr w:rsidR="00FD79F9" w:rsidRPr="00FD79F9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F9" w:rsidRPr="00304D3E" w:rsidRDefault="00304D3E" w:rsidP="0030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D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соціальних інвестицій і власних ресурсів територіальних громад для створення комфортного середовища для населення, прийняття із зазначеною метою рішень щодо побутового його обслуговування та благоустрою сільських населених пунктів.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Default="0030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залученню інвестицій для створення комфортного проживання населення у населених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Pr="00316970" w:rsidRDefault="0030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F9" w:rsidRPr="00697F07" w:rsidRDefault="0069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316970" w:rsidRPr="00FD79F9" w:rsidTr="00316970">
        <w:trPr>
          <w:trHeight w:val="9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970" w:rsidRDefault="00316970" w:rsidP="0030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дозвілля, оздоровлення та відпочинку дітей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Default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забезпечення направлення дітей, насамперед тих, які потребують особливої соціальної уваги та підтримки, на оздоровлення та відпочинок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Pr="00316970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Pr="00697F07" w:rsidRDefault="00882BDB" w:rsidP="0088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загально-навчальних та виховних закладів,</w:t>
            </w:r>
            <w:r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97F07"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І.Остапчук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16970" w:rsidRPr="00FD79F9" w:rsidTr="00316970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70" w:rsidRDefault="00316970" w:rsidP="0030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Default="0031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сприяння максимальному охопленню дітей системою оздоровлення та відпочинку шляхом розширення мережі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Pr="00316970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70" w:rsidRPr="00697F07" w:rsidRDefault="0069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84053" w:rsidRPr="00FD79F9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53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53" w:rsidRDefault="00784053" w:rsidP="0030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розвитку пересувної торгівлі для обслуговування населених пунктів без стаціонарної торгівельної мережі, а також у разі необхідності торгівлі товарами складного асортименту в населених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53" w:rsidRDefault="0037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784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озширення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мережі магазинів споживчої кооперації та залученн</w:t>
            </w:r>
            <w:r w:rsidR="00882B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засобів пересувної торгівлі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 лавки) для забезпечення сільського населення необхідним асортиментом товарів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53" w:rsidRPr="00316970" w:rsidRDefault="0037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53" w:rsidRPr="00316970" w:rsidRDefault="00697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3B6862" w:rsidRPr="00B30BD7" w:rsidTr="003B6862">
        <w:trPr>
          <w:trHeight w:val="14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Pr="003B6862" w:rsidRDefault="003B6862" w:rsidP="003B6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uk-UA"/>
              </w:rPr>
            </w:pPr>
            <w:r w:rsidRPr="003B686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можливостей дітей, що вразливі до бідності та соціального відчуження, у частині отримання ними якісних послуг</w:t>
            </w:r>
          </w:p>
        </w:tc>
      </w:tr>
      <w:tr w:rsidR="00B30BD7" w:rsidRPr="00B30BD7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D7" w:rsidRDefault="00B30BD7" w:rsidP="00697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регулярн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підвезення до місця навчання 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(роботи)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проживання учнів та педагогічних працівників сільських шкіл у разі відсутності навчального закладу в населеному пункті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B" w:rsidRDefault="00B30BD7" w:rsidP="00697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 визначен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рівні громади потреби у регулярному підвезенні до місця навчання (роботи) та необхідного обсягу фінансування;</w:t>
            </w:r>
            <w:r w:rsidR="00882B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30BD7" w:rsidRDefault="00882BDB" w:rsidP="00697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</w:t>
            </w:r>
            <w:r w:rsidR="00B30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B30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закупівл</w:t>
            </w:r>
            <w:r w:rsid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="00B30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шкільних автобусів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Pr="00316970" w:rsidRDefault="00B3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Pr="00697F07" w:rsidRDefault="0069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F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B30BD7" w:rsidRPr="00B30BD7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D7" w:rsidRDefault="003B6862" w:rsidP="00B3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надання профільної загальної середньої освіти в сільській місцевості відповідно до державних стандартів якості освіти, зокрема через подальше об’єднання старших класів шкіл на базі більшого навчального закладу з кращим оснащенням, організації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онлайн-курсів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поглибленого вивчення предметів та підготовки до зовнішнього незалежного оцінювання, розвитку альтернативних моделей організації здобуття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Default="003B6862" w:rsidP="00F6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розбудови мережі опорних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Pr="00316970" w:rsidRDefault="003B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D7" w:rsidRPr="00C32E06" w:rsidRDefault="00882BDB" w:rsidP="0088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C32E06" w:rsidRPr="00C32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освіти</w:t>
            </w:r>
            <w:r w:rsidR="00C32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B6862" w:rsidRPr="00B30BD7" w:rsidTr="0031697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1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B3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Внесення до переліку обов’язкових  стандартів вимог щодо обладнання навчальних закладів спеціальними засобами доступу для дітей з інвалідністю, в тому числі пандусами, ліфтами, підйомниками для доступу до всіх поверхів навчального закладу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B6862" w:rsidP="00F6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доступності </w:t>
            </w:r>
            <w:r w:rsidR="00AF1D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закладів освіти для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Pr="00316970" w:rsidRDefault="00AF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6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Pr="00733688" w:rsidRDefault="00C3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самоврядування,</w:t>
            </w:r>
            <w:r w:rsidRPr="00C32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C32E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освіти</w:t>
            </w:r>
          </w:p>
        </w:tc>
      </w:tr>
    </w:tbl>
    <w:p w:rsidR="00D34217" w:rsidRDefault="00D34217" w:rsidP="00D34217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D34217" w:rsidRDefault="00D34217" w:rsidP="00D34217">
      <w:pPr>
        <w:spacing w:after="0" w:line="240" w:lineRule="auto"/>
        <w:ind w:left="-426" w:right="-426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     І.Захожа</w:t>
      </w:r>
    </w:p>
    <w:p w:rsidR="00D34217" w:rsidRDefault="00D34217" w:rsidP="00D34217"/>
    <w:p w:rsidR="00C92149" w:rsidRDefault="00C92149"/>
    <w:sectPr w:rsidR="00C92149" w:rsidSect="003F1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217"/>
    <w:rsid w:val="00114E7A"/>
    <w:rsid w:val="001C36C3"/>
    <w:rsid w:val="00211F09"/>
    <w:rsid w:val="00304D3E"/>
    <w:rsid w:val="00316970"/>
    <w:rsid w:val="00372139"/>
    <w:rsid w:val="003B6862"/>
    <w:rsid w:val="003F163C"/>
    <w:rsid w:val="0042383C"/>
    <w:rsid w:val="00653CA7"/>
    <w:rsid w:val="00697F07"/>
    <w:rsid w:val="006A3646"/>
    <w:rsid w:val="006E060D"/>
    <w:rsid w:val="006E41AD"/>
    <w:rsid w:val="00733688"/>
    <w:rsid w:val="00733776"/>
    <w:rsid w:val="00772FD8"/>
    <w:rsid w:val="00784053"/>
    <w:rsid w:val="007A2968"/>
    <w:rsid w:val="007C1DB1"/>
    <w:rsid w:val="008424B2"/>
    <w:rsid w:val="00882BDB"/>
    <w:rsid w:val="00911CBF"/>
    <w:rsid w:val="00AF1D34"/>
    <w:rsid w:val="00B30BD7"/>
    <w:rsid w:val="00BD183C"/>
    <w:rsid w:val="00C32E06"/>
    <w:rsid w:val="00C733DF"/>
    <w:rsid w:val="00C92149"/>
    <w:rsid w:val="00CD3D8A"/>
    <w:rsid w:val="00D34217"/>
    <w:rsid w:val="00EE3FA6"/>
    <w:rsid w:val="00F55247"/>
    <w:rsid w:val="00F66D01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3421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34217"/>
    <w:pPr>
      <w:ind w:left="720"/>
      <w:contextualSpacing/>
    </w:pPr>
  </w:style>
  <w:style w:type="character" w:styleId="a5">
    <w:name w:val="Emphasis"/>
    <w:basedOn w:val="a0"/>
    <w:qFormat/>
    <w:rsid w:val="00D342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2019-05-28T07:22:00Z</cp:lastPrinted>
  <dcterms:created xsi:type="dcterms:W3CDTF">2019-05-02T07:36:00Z</dcterms:created>
  <dcterms:modified xsi:type="dcterms:W3CDTF">2019-05-28T07:22:00Z</dcterms:modified>
</cp:coreProperties>
</file>