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1AB1" w14:textId="77777777" w:rsidR="00D93382" w:rsidRPr="00186D7E" w:rsidRDefault="00D93382" w:rsidP="00D933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A9A35B8" wp14:editId="690BBF97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DD62" w14:textId="77777777" w:rsidR="00D93382" w:rsidRPr="00186D7E" w:rsidRDefault="00D93382" w:rsidP="00D933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710DAD59" w14:textId="77777777" w:rsidR="00D93382" w:rsidRPr="00186D7E" w:rsidRDefault="00D93382" w:rsidP="00D933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4C02ABD" w14:textId="77777777" w:rsidR="00D93382" w:rsidRPr="00186D7E" w:rsidRDefault="00D93382" w:rsidP="00D9338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4B3474CB" w14:textId="77777777" w:rsidR="00D93382" w:rsidRPr="00186D7E" w:rsidRDefault="00D93382" w:rsidP="00D9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36716B4F" w14:textId="77777777" w:rsidR="00D93382" w:rsidRPr="00786338" w:rsidRDefault="00D93382" w:rsidP="00D93382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382E8E31" w14:textId="77777777" w:rsidR="00D93382" w:rsidRPr="00186D7E" w:rsidRDefault="00D93382" w:rsidP="00D9338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6D11B521" w14:textId="77777777" w:rsidR="00D93382" w:rsidRPr="00786338" w:rsidRDefault="00D93382" w:rsidP="00D93382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5B5EB031" w14:textId="7FD7DF5A" w:rsidR="00D93382" w:rsidRPr="00186D7E" w:rsidRDefault="00D93382" w:rsidP="00D933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1F15F716" w14:textId="77777777" w:rsidR="00D4053A" w:rsidRPr="00D93382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090EE6F" w14:textId="16BD5D54" w:rsidR="006F12AE" w:rsidRPr="00152D9D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0735832"/>
      <w:r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прийняття із спільної власності територіальних громад Рівненського району у комунальну власність територіальної громади </w:t>
      </w:r>
      <w:r w:rsidR="008271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 </w:t>
      </w:r>
      <w:r w:rsidR="00B047C9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закладів освіти, розташованих на її території</w:t>
      </w:r>
    </w:p>
    <w:bookmarkEnd w:id="0"/>
    <w:p w14:paraId="24F8AFAA" w14:textId="77777777" w:rsidR="00DA6AF8" w:rsidRPr="00BF6A24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5320E" w14:textId="7F84DDA6" w:rsidR="00DA6AF8" w:rsidRPr="007602F0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ішення Рівненської районної ради від 22 грудня 2020 року №34 «Про передачу із спільної власності територіальних громад Рівненського району  у комунальну власність територіальної громади Рівненського району Рівненської області бюджетних установ (закладів освіти), розташованих на її території», керуючись Законом України «Про передачу об’єктів  права державної та комунальної власності»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Бюджетного кодексу України, Цивільного кодексу України, Господарського кодексу України, керуючись статтями 43, 60 та пунктом 10 розділу </w:t>
      </w:r>
      <w:r w:rsidR="00102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 Закону України «Про місцеве самоврядування в Україні», за погодженням із постійними комісіями  сільської ради, 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14:paraId="30CB2FE8" w14:textId="77777777" w:rsidR="0010210D" w:rsidRPr="009032D5" w:rsidRDefault="0010210D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27382AB5"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55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2B8744DD" w14:textId="77777777" w:rsidR="00CA4338" w:rsidRPr="005C3FAD" w:rsidRDefault="00CA4338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D28749B" w14:textId="07E1CD15" w:rsidR="009032D5" w:rsidRDefault="00FC025F" w:rsidP="00B07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із спільної власності територіальних громад Рівненського району у</w:t>
      </w:r>
      <w:r w:rsidR="009032D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комунальну власність територіальної громади сіл Білокриницької сільської ради заклади освіти, їх приміщення, земельні ділянки та майно, </w:t>
      </w:r>
      <w:r w:rsidR="00E82CA2" w:rsidRPr="00E82CA2">
        <w:rPr>
          <w:rFonts w:ascii="Times New Roman" w:hAnsi="Times New Roman" w:cs="Times New Roman"/>
          <w:sz w:val="28"/>
          <w:szCs w:val="28"/>
          <w:lang w:val="uk-UA"/>
        </w:rPr>
        <w:t>розташованих на території Білокриницької сільської ради</w:t>
      </w:r>
      <w:r w:rsidR="009032D5" w:rsidRPr="00E82CA2">
        <w:rPr>
          <w:rFonts w:ascii="Times New Roman" w:hAnsi="Times New Roman" w:cs="Times New Roman"/>
          <w:sz w:val="28"/>
          <w:szCs w:val="28"/>
          <w:lang w:val="uk-UA"/>
        </w:rPr>
        <w:t>, згідно з додатком.</w:t>
      </w:r>
    </w:p>
    <w:p w14:paraId="455A48EA" w14:textId="77777777" w:rsidR="009032D5" w:rsidRDefault="009032D5" w:rsidP="00B07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права та обов’язки засновника закладів освіти. </w:t>
      </w:r>
    </w:p>
    <w:p w14:paraId="5622B648" w14:textId="108D0E79" w:rsidR="00E04632" w:rsidRPr="009032D5" w:rsidRDefault="009032D5" w:rsidP="00B07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2D5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Pr="009032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сім’ї, молоді, спорту, культури та туризму Білокриницької сільської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після передачі приймання закладів освіти подати сільській раді зміни до Переліку об’єктів спільної власності </w:t>
      </w:r>
      <w:r w:rsidRPr="009032D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територіальної громади </w:t>
      </w:r>
      <w:r w:rsidR="008271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 </w:t>
      </w:r>
      <w:r w:rsidRPr="009032D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сільської ради.</w:t>
      </w:r>
    </w:p>
    <w:p w14:paraId="7D888214" w14:textId="5D6FE49E" w:rsidR="00C3730C" w:rsidRPr="00AC1F19" w:rsidRDefault="00C3730C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4669F7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AC1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3E3A0F" w14:textId="77777777" w:rsidR="00B65D46" w:rsidRDefault="00B65D46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1D3DDE15" w:rsidR="00882ACE" w:rsidRDefault="00C3730C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7798C492" w14:textId="77777777" w:rsidR="004669F7" w:rsidRDefault="004669F7" w:rsidP="00BF6A24">
      <w:pPr>
        <w:spacing w:after="0"/>
        <w:ind w:left="41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0E804C46" w14:textId="77777777" w:rsidR="004669F7" w:rsidRDefault="004669F7" w:rsidP="00BF6A24">
      <w:pPr>
        <w:spacing w:after="0"/>
        <w:ind w:left="41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697D7F54" w14:textId="3ABA0C8D" w:rsidR="00C3730C" w:rsidRPr="008271A3" w:rsidRDefault="008271A3" w:rsidP="00D93382">
      <w:pPr>
        <w:spacing w:after="0"/>
        <w:ind w:left="56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 xml:space="preserve">Додаток </w:t>
      </w:r>
    </w:p>
    <w:p w14:paraId="1266925A" w14:textId="77777777" w:rsidR="00D93382" w:rsidRDefault="00D93382" w:rsidP="00D93382">
      <w:pPr>
        <w:spacing w:after="0"/>
        <w:ind w:left="56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</w:t>
      </w:r>
      <w:r w:rsid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</w:t>
      </w:r>
      <w:r w:rsidR="008271A3"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ішення </w:t>
      </w:r>
    </w:p>
    <w:p w14:paraId="60706A25" w14:textId="6EE9E75D" w:rsidR="008271A3" w:rsidRDefault="00D93382" w:rsidP="00D93382">
      <w:pPr>
        <w:spacing w:after="0"/>
        <w:ind w:left="56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сесії </w:t>
      </w:r>
      <w:r w:rsidR="008271A3" w:rsidRPr="008271A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Білокриницької сільської ради від 24.12.2020року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22</w:t>
      </w:r>
    </w:p>
    <w:p w14:paraId="52B9DDC5" w14:textId="77777777" w:rsidR="00691827" w:rsidRDefault="00691827" w:rsidP="006918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9DAC201" w14:textId="28618FB6" w:rsidR="008271A3" w:rsidRPr="008271A3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ПЕРЕЛІК</w:t>
      </w:r>
    </w:p>
    <w:p w14:paraId="772C85BE" w14:textId="3C28E6F7" w:rsidR="00C3730C" w:rsidRDefault="008271A3" w:rsidP="0069182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271A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закладів освіти, їх приміщень, земельних ділянок та майна, що розташовані на території Білокриницької сільської ради та приймаються у комунальну власність територіальної громади сіл Білокриницької сільської</w:t>
      </w:r>
      <w:r w:rsidR="004669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із </w:t>
      </w:r>
      <w:r w:rsidR="004669F7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спільної власності територіальних громад Рівненського району</w:t>
      </w:r>
    </w:p>
    <w:tbl>
      <w:tblPr>
        <w:tblStyle w:val="a8"/>
        <w:tblW w:w="9868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3210"/>
      </w:tblGrid>
      <w:tr w:rsidR="008271A3" w14:paraId="6C13CE7D" w14:textId="77777777" w:rsidTr="00691827">
        <w:trPr>
          <w:jc w:val="center"/>
        </w:trPr>
        <w:tc>
          <w:tcPr>
            <w:tcW w:w="704" w:type="dxa"/>
            <w:vAlign w:val="center"/>
          </w:tcPr>
          <w:p w14:paraId="0422E2C2" w14:textId="0C3C103D" w:rsidR="008271A3" w:rsidRDefault="008271A3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4961CECB" w14:textId="39B80E86" w:rsidR="008271A3" w:rsidRDefault="008271A3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3210" w:type="dxa"/>
            <w:vAlign w:val="center"/>
          </w:tcPr>
          <w:p w14:paraId="484722EE" w14:textId="2BA1504E" w:rsidR="008271A3" w:rsidRDefault="008271A3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Адреса</w:t>
            </w:r>
          </w:p>
        </w:tc>
      </w:tr>
      <w:tr w:rsidR="008271A3" w14:paraId="7AD2AD97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4EE57CEF" w14:textId="13D49B8D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vAlign w:val="center"/>
          </w:tcPr>
          <w:p w14:paraId="54F6A97A" w14:textId="4AD07CB0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27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Білокриницька</w:t>
            </w:r>
            <w:proofErr w:type="spellEnd"/>
            <w:r w:rsidRPr="00827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D93382" w:rsidRPr="00827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загальноосвітня</w:t>
            </w:r>
            <w:r w:rsidRPr="008271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школа І-ІІІ ступенів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613361FB" w14:textId="77777777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с. Біла Криниця,</w:t>
            </w:r>
          </w:p>
          <w:p w14:paraId="15D08032" w14:textId="22FD0EF4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Радгоспна, 45</w:t>
            </w:r>
          </w:p>
        </w:tc>
      </w:tr>
      <w:tr w:rsidR="008271A3" w14:paraId="2C65C389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7F5A793B" w14:textId="77777777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4CE9C48B" w14:textId="663AFB34" w:rsidR="008271A3" w:rsidRPr="00691827" w:rsidRDefault="008271A3" w:rsidP="00691827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27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з кадастровим номером 5624680700:02:008:1256 – 2,3790 га, будівля школи, топкова, спортивний майданчик для гри у міні-футбол, автобус марки «БАЗ», моделі А079.31Ш, 2013 року випуску, жовтого кольору, номер кузова 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7931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27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0011458, державний номер ВК5663ВІ</w:t>
            </w:r>
          </w:p>
        </w:tc>
        <w:tc>
          <w:tcPr>
            <w:tcW w:w="3210" w:type="dxa"/>
            <w:vMerge/>
            <w:vAlign w:val="center"/>
          </w:tcPr>
          <w:p w14:paraId="3F25E8EE" w14:textId="77777777" w:rsidR="008271A3" w:rsidRPr="008271A3" w:rsidRDefault="008271A3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691827" w14:paraId="17DC1A83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17E398DA" w14:textId="0125670C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vAlign w:val="center"/>
          </w:tcPr>
          <w:p w14:paraId="116BAAD4" w14:textId="1DF1E2F3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Городищенський ліцей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07BE1429" w14:textId="00902EE1" w:rsidR="00691827" w:rsidRPr="008271A3" w:rsidRDefault="00691827" w:rsidP="006918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Городище</w:t>
            </w: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A85535E" w14:textId="38E7F6B2" w:rsidR="00691827" w:rsidRDefault="00691827" w:rsidP="00691827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Рівненська, 76</w:t>
            </w:r>
          </w:p>
        </w:tc>
      </w:tr>
      <w:tr w:rsidR="00691827" w14:paraId="5CC9DB54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6BB311FA" w14:textId="7777777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4FC59EA1" w14:textId="4ED8C561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школи №1, будівля школи №2, котельня,</w:t>
            </w: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з кадастровим номером 5624683000:01:002:0533 – 1,0994 га</w:t>
            </w:r>
          </w:p>
        </w:tc>
        <w:tc>
          <w:tcPr>
            <w:tcW w:w="3210" w:type="dxa"/>
            <w:vMerge/>
            <w:vAlign w:val="center"/>
          </w:tcPr>
          <w:p w14:paraId="6B63553C" w14:textId="77777777" w:rsidR="00691827" w:rsidRDefault="00691827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91827" w14:paraId="6E19D36B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258D0DBD" w14:textId="76F0A06D" w:rsidR="00691827" w:rsidRPr="00691827" w:rsidRDefault="00691827" w:rsidP="008271A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14:paraId="2F54C6A1" w14:textId="3B4C410F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Шубківська</w:t>
            </w:r>
            <w:proofErr w:type="spellEnd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загально</w:t>
            </w:r>
            <w:r w:rsidR="00D93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світня школа І-ІІІ ступенів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591D48A7" w14:textId="37072049" w:rsidR="00691827" w:rsidRPr="008271A3" w:rsidRDefault="00691827" w:rsidP="006918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Шубків</w:t>
            </w:r>
            <w:proofErr w:type="spellEnd"/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54E674" w14:textId="11D61A4F" w:rsidR="00691827" w:rsidRDefault="00691827" w:rsidP="00691827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Незалежності, 24</w:t>
            </w:r>
          </w:p>
        </w:tc>
      </w:tr>
      <w:tr w:rsidR="00691827" w14:paraId="0579C26C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75EA6897" w14:textId="77777777" w:rsidR="00691827" w:rsidRDefault="00691827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3CBB51D5" w14:textId="2A6CB3A4" w:rsidR="00691827" w:rsidRPr="00691827" w:rsidRDefault="00691827" w:rsidP="00691827">
            <w:pPr>
              <w:autoSpaceDE w:val="0"/>
              <w:autoSpaceDN w:val="0"/>
              <w:ind w:right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з кадастровим номером 5624689800:02:014:0177 – 2,4669 га, будівля школи, підсобне приміщення, гараж, будівля тиру, будівля складу, будівля котельні, туалет, трактор ЮМЗ-6А, реєстраційний номер 7232 РД.</w:t>
            </w:r>
          </w:p>
        </w:tc>
        <w:tc>
          <w:tcPr>
            <w:tcW w:w="3210" w:type="dxa"/>
            <w:vMerge/>
            <w:vAlign w:val="center"/>
          </w:tcPr>
          <w:p w14:paraId="793F1E49" w14:textId="77777777" w:rsidR="00691827" w:rsidRDefault="00691827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691827" w14:paraId="036DD1B4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7C34913E" w14:textId="4CAAE4C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182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14:paraId="07B4F4F5" w14:textId="03603203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Глинківська</w:t>
            </w:r>
            <w:proofErr w:type="spellEnd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загальн</w:t>
            </w:r>
            <w:r w:rsidR="00D93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освітня школа І-ІІ ступенів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7DB123DE" w14:textId="5A0C39F3" w:rsidR="00691827" w:rsidRPr="008271A3" w:rsidRDefault="00691827" w:rsidP="006918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Глинки</w:t>
            </w: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,</w:t>
            </w:r>
          </w:p>
          <w:p w14:paraId="4426112D" w14:textId="3A3D3857" w:rsidR="00691827" w:rsidRPr="00691827" w:rsidRDefault="00691827" w:rsidP="006918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Піщана, 1</w:t>
            </w:r>
          </w:p>
        </w:tc>
      </w:tr>
      <w:tr w:rsidR="00691827" w14:paraId="60E1B022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6F0971B2" w14:textId="7777777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585BBCA3" w14:textId="27346116" w:rsidR="00691827" w:rsidRPr="00691827" w:rsidRDefault="00691827" w:rsidP="00691827">
            <w:pPr>
              <w:autoSpaceDE w:val="0"/>
              <w:autoSpaceDN w:val="0"/>
              <w:ind w:right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кадастровим номером 5624680700:06:000:0273 </w:t>
            </w: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0,5589 га, будівля школи, складське приміщення.</w:t>
            </w:r>
          </w:p>
        </w:tc>
        <w:tc>
          <w:tcPr>
            <w:tcW w:w="3210" w:type="dxa"/>
            <w:vMerge/>
            <w:vAlign w:val="center"/>
          </w:tcPr>
          <w:p w14:paraId="5260A689" w14:textId="7777777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691827" w14:paraId="5DD8D22D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17948F38" w14:textId="53177BEF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182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14:paraId="394725F2" w14:textId="1C6B53DD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Гориньградська</w:t>
            </w:r>
            <w:proofErr w:type="spellEnd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-І загально</w:t>
            </w:r>
            <w:r w:rsidR="00D93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світня школа І-ІІ ступенів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59A72D48" w14:textId="33347FDA" w:rsidR="00691827" w:rsidRPr="008271A3" w:rsidRDefault="00691827" w:rsidP="006918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Гориньград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Перший</w:t>
            </w: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,</w:t>
            </w:r>
          </w:p>
          <w:p w14:paraId="79877D24" w14:textId="7F0A8264" w:rsidR="00691827" w:rsidRPr="00691827" w:rsidRDefault="00691827" w:rsidP="006918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Мирна, 84</w:t>
            </w:r>
          </w:p>
        </w:tc>
      </w:tr>
      <w:tr w:rsidR="00691827" w14:paraId="07F44C3D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33E07171" w14:textId="7777777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446CD657" w14:textId="3E1334AF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школи, будівля складу, будівля складу, будівля складу, котельня, водонапірна </w:t>
            </w:r>
            <w:proofErr w:type="spellStart"/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</w:t>
            </w:r>
            <w:proofErr w:type="spellEnd"/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спортивний майданчик, туалет, земельна ділянка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кадастровим номером 5624689800:10:030:0196 </w:t>
            </w: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га.</w:t>
            </w:r>
          </w:p>
        </w:tc>
        <w:tc>
          <w:tcPr>
            <w:tcW w:w="3210" w:type="dxa"/>
            <w:vMerge/>
            <w:vAlign w:val="center"/>
          </w:tcPr>
          <w:p w14:paraId="1E679CBA" w14:textId="77777777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691827" w14:paraId="735E02C2" w14:textId="77777777" w:rsidTr="00691827">
        <w:trPr>
          <w:jc w:val="center"/>
        </w:trPr>
        <w:tc>
          <w:tcPr>
            <w:tcW w:w="704" w:type="dxa"/>
            <w:vMerge w:val="restart"/>
            <w:vAlign w:val="center"/>
          </w:tcPr>
          <w:p w14:paraId="3001607B" w14:textId="46FA7144" w:rsidR="00691827" w:rsidRPr="00691827" w:rsidRDefault="00691827" w:rsidP="008271A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1827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14:paraId="3FDF2D8B" w14:textId="5C7D16A8" w:rsidR="00691827" w:rsidRPr="00691827" w:rsidRDefault="00691827" w:rsidP="008271A3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Рисвянська</w:t>
            </w:r>
            <w:proofErr w:type="spellEnd"/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загально</w:t>
            </w:r>
            <w:r w:rsidR="00D933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</w:t>
            </w:r>
            <w:r w:rsidRPr="0069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світня школа І-ІІ ступенів Рівненської районної ради Рівненської області</w:t>
            </w:r>
          </w:p>
        </w:tc>
        <w:tc>
          <w:tcPr>
            <w:tcW w:w="3210" w:type="dxa"/>
            <w:vMerge w:val="restart"/>
            <w:vAlign w:val="center"/>
          </w:tcPr>
          <w:p w14:paraId="73DE7906" w14:textId="1DC25C39" w:rsidR="00691827" w:rsidRPr="008271A3" w:rsidRDefault="00691827" w:rsidP="0069182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Рисв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,</w:t>
            </w:r>
          </w:p>
          <w:p w14:paraId="6FE305AF" w14:textId="6D21FE50" w:rsidR="00691827" w:rsidRPr="00691827" w:rsidRDefault="00691827" w:rsidP="0069182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271A3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вул.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Шкільна, 34</w:t>
            </w:r>
          </w:p>
        </w:tc>
      </w:tr>
      <w:tr w:rsidR="00691827" w14:paraId="10AA305C" w14:textId="77777777" w:rsidTr="00691827">
        <w:trPr>
          <w:jc w:val="center"/>
        </w:trPr>
        <w:tc>
          <w:tcPr>
            <w:tcW w:w="704" w:type="dxa"/>
            <w:vMerge/>
            <w:vAlign w:val="center"/>
          </w:tcPr>
          <w:p w14:paraId="6963EC18" w14:textId="77777777" w:rsidR="00691827" w:rsidRDefault="00691827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Align w:val="center"/>
          </w:tcPr>
          <w:p w14:paraId="3965536C" w14:textId="54A8E2D3" w:rsidR="00691827" w:rsidRPr="00691827" w:rsidRDefault="00691827" w:rsidP="00691827">
            <w:pPr>
              <w:autoSpaceDE w:val="0"/>
              <w:autoSpaceDN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школи, будівля школи, спортивний майданчик, будівля туалету, земельна ділянка</w:t>
            </w:r>
            <w:r w:rsidR="00364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кадастровим номером 5624689800:07:033:0068</w:t>
            </w:r>
            <w:r w:rsidRPr="0069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1,6 га</w:t>
            </w:r>
          </w:p>
        </w:tc>
        <w:tc>
          <w:tcPr>
            <w:tcW w:w="3210" w:type="dxa"/>
            <w:vMerge/>
            <w:vAlign w:val="center"/>
          </w:tcPr>
          <w:p w14:paraId="7F3E35FD" w14:textId="77777777" w:rsidR="00691827" w:rsidRDefault="00691827" w:rsidP="008271A3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14:paraId="245FB631" w14:textId="06DD4A19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4FF0A288" w14:textId="4A3A818E" w:rsidR="00D54369" w:rsidRDefault="0036483B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53EB1E37" w14:textId="77777777" w:rsidR="00D54369" w:rsidRDefault="00D54369" w:rsidP="00D543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чергова сесія </w:t>
      </w:r>
    </w:p>
    <w:p w14:paraId="7DF30097" w14:textId="77777777" w:rsidR="00D54369" w:rsidRDefault="00D54369" w:rsidP="00D543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6E6A8E2C" w14:textId="77777777" w:rsidR="00D54369" w:rsidRDefault="00D54369" w:rsidP="00D5436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08DD2ECA" w14:textId="77777777" w:rsidR="00D54369" w:rsidRDefault="00D54369" w:rsidP="00D5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грудня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2858B827" w14:textId="77777777" w:rsidR="00D54369" w:rsidRDefault="00D54369" w:rsidP="00D5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E9D6F8E" w14:textId="77777777" w:rsidR="00D54369" w:rsidRDefault="00D54369" w:rsidP="00D54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28CD8E0D" w14:textId="3F2B8560" w:rsidR="00D54369" w:rsidRDefault="00D54369" w:rsidP="00D5436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436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прийняття із спільної власності територіальних громад Рівненського району у комунальну власність територіальної громади сіл Білокриницької сільської ради закладів освіти, розташованих на її території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D54369" w14:paraId="63D30AA5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5F1D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5E80C5EF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38F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3F15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34A" w14:textId="77777777" w:rsidR="00D54369" w:rsidRDefault="00D54369" w:rsidP="00152D9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EB3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114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54369" w14:paraId="08F7EB0A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67E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0E7D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C86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5B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A43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772" w14:textId="77777777" w:rsidR="00D54369" w:rsidRDefault="00D54369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381FBC46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451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8E6A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7449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76B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A4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B2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18976FFE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C1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07B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7E25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BDF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2B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E96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74C2E5E5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3267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45B3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B48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85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05A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90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1219B63D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76B4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C29C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82D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9B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2AF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AC0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72C8F043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F781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1CA8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833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4B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FE4" w14:textId="77777777" w:rsidR="00D54369" w:rsidRDefault="00D54369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9D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54369" w14:paraId="55A9FBFE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F0A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07B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453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E5F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186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C171" w14:textId="77777777" w:rsidR="00D54369" w:rsidRDefault="00D54369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474CD879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77F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661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18CE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7D7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500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F4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425B3C73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66D5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E127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4F6" w14:textId="77777777" w:rsidR="00D54369" w:rsidRDefault="00D54369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B82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16A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20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48560E3B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D0E8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38E9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1A51" w14:textId="77777777" w:rsidR="00D54369" w:rsidRDefault="00D54369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67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76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425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35F03F47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CF84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CBDF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0CF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65A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34E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26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66ADDF39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450F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281E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CE4D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426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92B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56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1F856A20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4FE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E4B6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C4D4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106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A61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711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4A2089CF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0406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2F12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BE06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904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A50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36D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55257A56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A28A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67E4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74E9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BD0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D5A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A05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35A78D97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0D49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6D67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7FD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A25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0F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1B2" w14:textId="77777777" w:rsidR="00D54369" w:rsidRDefault="00D54369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143BC245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EF9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6D7C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E98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12D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AA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1E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7FAFDCD7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8DD5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0A22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775" w14:textId="77777777" w:rsidR="00D54369" w:rsidRDefault="00D54369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374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2EF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262A" w14:textId="77777777" w:rsidR="00D54369" w:rsidRDefault="00D54369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61D3B663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E2B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070C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56BE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26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023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AB0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3761DD4E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380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9FAD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94E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01C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5CB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B7F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4264BD0F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ED4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E85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68C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7B9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60A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91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5E77B38A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C0C1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753F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026" w14:textId="77777777" w:rsidR="00D54369" w:rsidRDefault="00D54369">
            <w:pPr>
              <w:spacing w:after="0" w:line="240" w:lineRule="auto"/>
              <w:ind w:left="-138" w:right="-105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FD6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C4D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B5B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27529152" w14:textId="77777777" w:rsidTr="00D543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9B09" w14:textId="77777777" w:rsidR="00D54369" w:rsidRDefault="00D5436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350" w14:textId="77777777" w:rsidR="00D54369" w:rsidRDefault="00D5436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3BC6" w14:textId="77777777" w:rsidR="00D54369" w:rsidRDefault="00D5436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F1D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977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155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54369" w14:paraId="16E8F046" w14:textId="77777777" w:rsidTr="00D54369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CFA8" w14:textId="77777777" w:rsidR="00D54369" w:rsidRDefault="00D5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23D8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7B5" w14:textId="77777777" w:rsidR="00D54369" w:rsidRDefault="00D5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041C" w14:textId="77777777" w:rsidR="00D54369" w:rsidRDefault="00D5436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7957" w14:textId="77777777" w:rsidR="00D54369" w:rsidRDefault="00D54369">
            <w:pPr>
              <w:spacing w:after="0"/>
              <w:rPr>
                <w:sz w:val="20"/>
                <w:szCs w:val="20"/>
                <w:lang w:val="ru-UA" w:eastAsia="ru-UA"/>
              </w:rPr>
            </w:pPr>
          </w:p>
        </w:tc>
      </w:tr>
    </w:tbl>
    <w:p w14:paraId="0156760A" w14:textId="77777777" w:rsidR="00D54369" w:rsidRDefault="00D54369" w:rsidP="00D54369">
      <w:pPr>
        <w:spacing w:after="0" w:line="240" w:lineRule="auto"/>
        <w:rPr>
          <w:rFonts w:ascii="Times New Roman" w:hAnsi="Times New Roman"/>
          <w:lang w:val="uk-UA"/>
        </w:rPr>
      </w:pPr>
    </w:p>
    <w:p w14:paraId="6CFB117B" w14:textId="77777777" w:rsidR="00D54369" w:rsidRDefault="00D54369" w:rsidP="00D543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6DA9032" w14:textId="77777777" w:rsidR="00D54369" w:rsidRDefault="00D54369" w:rsidP="00D54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9DAC4ED" w14:textId="77777777" w:rsidR="00D54369" w:rsidRDefault="00D54369" w:rsidP="00D54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8C18E31" w14:textId="77777777" w:rsidR="00D54369" w:rsidRDefault="00D54369" w:rsidP="00D543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478BC53" w14:textId="77777777" w:rsidR="00D54369" w:rsidRDefault="00D54369" w:rsidP="00D5436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36DDA3C7" w14:textId="77777777" w:rsidR="00D54369" w:rsidRDefault="00D54369" w:rsidP="00D543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152D9D">
        <w:rPr>
          <w:rFonts w:ascii="Times New Roman" w:hAnsi="Times New Roman"/>
          <w:sz w:val="26"/>
          <w:szCs w:val="26"/>
          <w:u w:val="single"/>
          <w:lang w:val="uk-UA"/>
        </w:rPr>
        <w:t>______________</w:t>
      </w:r>
      <w:r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uk-UA"/>
        </w:rPr>
        <w:t>Н. В.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Павленко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14:paraId="6FE0EB26" w14:textId="77777777" w:rsidR="00D54369" w:rsidRDefault="00D54369" w:rsidP="00D543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14:paraId="2D0C4186" w14:textId="24B5EA9E" w:rsidR="00E07DC7" w:rsidRDefault="00D54369" w:rsidP="00D54369">
      <w:pPr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(</w:t>
      </w:r>
      <w:proofErr w:type="gramEnd"/>
      <w:r>
        <w:rPr>
          <w:rFonts w:ascii="Times New Roman" w:hAnsi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sectPr w:rsidR="00E07DC7" w:rsidSect="0030552A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512A"/>
    <w:rsid w:val="00152D9D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669F7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1A3F"/>
    <w:rsid w:val="00685392"/>
    <w:rsid w:val="00691827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71A3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54369"/>
    <w:rsid w:val="00D93382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82CA2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58F5"/>
    <w:rsid w:val="00FB0455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4</cp:revision>
  <cp:lastPrinted>2020-11-24T14:41:00Z</cp:lastPrinted>
  <dcterms:created xsi:type="dcterms:W3CDTF">2020-12-29T10:17:00Z</dcterms:created>
  <dcterms:modified xsi:type="dcterms:W3CDTF">2021-01-05T09:41:00Z</dcterms:modified>
</cp:coreProperties>
</file>