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9399" w14:textId="468E1F97" w:rsidR="00AC1704" w:rsidRDefault="00AC1704" w:rsidP="00AC17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76AD4C57" wp14:editId="24CC2402">
            <wp:extent cx="427355" cy="61722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9474D" w14:textId="77777777" w:rsidR="00AC1704" w:rsidRDefault="00AC1704" w:rsidP="00AC17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EE10C0B" w14:textId="77777777" w:rsidR="00AC1704" w:rsidRDefault="00AC1704" w:rsidP="00AC170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A97EF3D" w14:textId="77777777" w:rsidR="00AC1704" w:rsidRDefault="00AC1704" w:rsidP="00AC1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1C1F0EB" w14:textId="77777777" w:rsidR="00AC1704" w:rsidRDefault="00AC1704" w:rsidP="00AC1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4447A7" w14:textId="77777777" w:rsidR="00AC1704" w:rsidRDefault="00AC1704" w:rsidP="00AC1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6E7DBB2A" w14:textId="67C8BB22" w:rsidR="00AC1704" w:rsidRDefault="00AC1704" w:rsidP="00AC17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жовтня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</w:p>
    <w:p w14:paraId="688230DE" w14:textId="77777777" w:rsidR="00AC1704" w:rsidRDefault="00AC1704" w:rsidP="00AC1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0AAB8F" w14:textId="77777777" w:rsidR="0047175F" w:rsidRDefault="0047175F" w:rsidP="00A40C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F2989A2" w14:textId="18C2FF89" w:rsidR="0047175F" w:rsidRPr="00A0583E" w:rsidRDefault="0047175F" w:rsidP="00A40C3A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делегованих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повноважень</w:t>
      </w:r>
      <w:proofErr w:type="spellEnd"/>
      <w:r w:rsidR="002B55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органів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виконавчої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влади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2B558E">
        <w:rPr>
          <w:rFonts w:ascii="Times New Roman" w:hAnsi="Times New Roman" w:cs="Times New Roman"/>
          <w:bCs/>
          <w:iCs/>
          <w:sz w:val="28"/>
          <w:szCs w:val="28"/>
        </w:rPr>
        <w:t>сфері</w:t>
      </w:r>
      <w:proofErr w:type="spellEnd"/>
      <w:r w:rsidRPr="002B55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583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освіти</w:t>
      </w:r>
    </w:p>
    <w:p w14:paraId="3012829B" w14:textId="77777777" w:rsidR="002B558E" w:rsidRDefault="002B558E" w:rsidP="00A40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1789C" w14:textId="21C027DD" w:rsidR="0047175F" w:rsidRDefault="0047175F" w:rsidP="00A40C3A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>начальника відділу освіти, сім’ї, молоді, культури, спорту та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2B558E"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стосовно виконання делегованих повноважень у сфері </w:t>
      </w:r>
      <w:r w:rsidR="00A0583E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з метою здійснення реалізації делегованих повноважень органів місцевого самоврядування щодо забезпечення належної культурно-масової роботи та організації дозвілля населення Білокриницької сільської ради, керуючись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ст. 32 Закону України «Про місцеве самоврядування в Україні»  виконавчий комітет Білокриницької сільської ради</w:t>
      </w:r>
    </w:p>
    <w:p w14:paraId="311CB9C9" w14:textId="77777777" w:rsidR="0047175F" w:rsidRDefault="0047175F" w:rsidP="00A40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361027F1" w14:textId="11B33230" w:rsidR="0047175F" w:rsidRDefault="0047175F" w:rsidP="00A40C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освіти, сім’ї, молоді, культури, спорту та туризму, Н. </w:t>
      </w:r>
      <w:proofErr w:type="spellStart"/>
      <w:r w:rsidR="002B558E"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взяти до відома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 (додаток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D90CD0" w14:textId="02212480" w:rsidR="0047175F" w:rsidRDefault="0047175F" w:rsidP="00A40C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сім’ї, молоді, культури, спорту та туризму </w:t>
      </w:r>
      <w:r w:rsidR="00A0583E">
        <w:rPr>
          <w:rFonts w:ascii="Times New Roman" w:hAnsi="Times New Roman" w:cs="Times New Roman"/>
          <w:sz w:val="28"/>
          <w:szCs w:val="28"/>
          <w:lang w:val="uk-UA"/>
        </w:rPr>
        <w:t xml:space="preserve">в напрямку галузі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5CD4D3F" w14:textId="1BFADBAF" w:rsidR="0047175F" w:rsidRDefault="002B558E" w:rsidP="00A40C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освіти, сім’ї, молоді, культури, спорту та туризму,                     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Ліснічук</w:t>
      </w:r>
      <w:proofErr w:type="spellEnd"/>
      <w:r w:rsidR="004717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E56F0B2" w14:textId="77777777" w:rsidR="00A0583E" w:rsidRDefault="00A0583E" w:rsidP="00A40C3A">
      <w:pPr>
        <w:pStyle w:val="a4"/>
        <w:numPr>
          <w:ilvl w:val="1"/>
          <w:numId w:val="1"/>
        </w:numPr>
        <w:tabs>
          <w:tab w:val="left" w:pos="1260"/>
        </w:tabs>
        <w:spacing w:after="0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583E">
        <w:rPr>
          <w:rFonts w:ascii="Times New Roman" w:hAnsi="Times New Roman" w:cs="Times New Roman"/>
          <w:sz w:val="26"/>
          <w:szCs w:val="26"/>
          <w:lang w:val="uk-UA"/>
        </w:rPr>
        <w:t>сприяти розвитку та збереженню мережі освітніх закладів територіальної громади;</w:t>
      </w:r>
    </w:p>
    <w:p w14:paraId="67C74A6A" w14:textId="77777777" w:rsidR="00A0583E" w:rsidRDefault="00A0583E" w:rsidP="00A40C3A">
      <w:pPr>
        <w:pStyle w:val="a4"/>
        <w:numPr>
          <w:ilvl w:val="1"/>
          <w:numId w:val="1"/>
        </w:numPr>
        <w:tabs>
          <w:tab w:val="left" w:pos="1260"/>
        </w:tabs>
        <w:spacing w:after="0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583E">
        <w:rPr>
          <w:rFonts w:ascii="Times New Roman" w:hAnsi="Times New Roman" w:cs="Times New Roman"/>
          <w:sz w:val="26"/>
          <w:szCs w:val="26"/>
          <w:lang w:val="uk-UA"/>
        </w:rPr>
        <w:t>активізувати роботу стосовно покращення якісного складу педагогічних кадрів освітніх закладів територіальної громади;</w:t>
      </w:r>
    </w:p>
    <w:p w14:paraId="13F4DB98" w14:textId="77777777" w:rsidR="00A0583E" w:rsidRDefault="00A0583E" w:rsidP="00A40C3A">
      <w:pPr>
        <w:pStyle w:val="a4"/>
        <w:numPr>
          <w:ilvl w:val="1"/>
          <w:numId w:val="1"/>
        </w:numPr>
        <w:tabs>
          <w:tab w:val="left" w:pos="1260"/>
        </w:tabs>
        <w:spacing w:after="0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583E">
        <w:rPr>
          <w:rFonts w:ascii="Times New Roman" w:hAnsi="Times New Roman" w:cs="Times New Roman"/>
          <w:sz w:val="26"/>
          <w:szCs w:val="26"/>
          <w:lang w:val="uk-UA"/>
        </w:rPr>
        <w:t>здійснювати заходи щодо  подальшого зміцнення матеріально - технічної бази  навчальних закладів територіальної громади;</w:t>
      </w:r>
    </w:p>
    <w:p w14:paraId="01CA7B9B" w14:textId="4727829B" w:rsidR="00A0583E" w:rsidRPr="00A0583E" w:rsidRDefault="00A0583E" w:rsidP="00A40C3A">
      <w:pPr>
        <w:pStyle w:val="a4"/>
        <w:numPr>
          <w:ilvl w:val="1"/>
          <w:numId w:val="1"/>
        </w:numPr>
        <w:tabs>
          <w:tab w:val="left" w:pos="1260"/>
        </w:tabs>
        <w:spacing w:after="0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583E">
        <w:rPr>
          <w:rFonts w:ascii="Times New Roman" w:hAnsi="Times New Roman" w:cs="Times New Roman"/>
          <w:sz w:val="26"/>
          <w:szCs w:val="26"/>
        </w:rPr>
        <w:t xml:space="preserve">вести </w:t>
      </w:r>
      <w:proofErr w:type="spellStart"/>
      <w:r w:rsidRPr="00A0583E">
        <w:rPr>
          <w:rFonts w:ascii="Times New Roman" w:hAnsi="Times New Roman" w:cs="Times New Roman"/>
          <w:sz w:val="26"/>
          <w:szCs w:val="26"/>
        </w:rPr>
        <w:t>постійний</w:t>
      </w:r>
      <w:proofErr w:type="spellEnd"/>
      <w:r w:rsidRPr="00A0583E">
        <w:rPr>
          <w:rFonts w:ascii="Times New Roman" w:hAnsi="Times New Roman" w:cs="Times New Roman"/>
          <w:sz w:val="26"/>
          <w:szCs w:val="26"/>
        </w:rPr>
        <w:t xml:space="preserve"> контроль за </w:t>
      </w:r>
      <w:proofErr w:type="spellStart"/>
      <w:r w:rsidRPr="00A0583E">
        <w:rPr>
          <w:rFonts w:ascii="Times New Roman" w:hAnsi="Times New Roman" w:cs="Times New Roman"/>
          <w:sz w:val="26"/>
          <w:szCs w:val="26"/>
        </w:rPr>
        <w:t>якісним</w:t>
      </w:r>
      <w:proofErr w:type="spellEnd"/>
      <w:r w:rsidRPr="00A058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583E">
        <w:rPr>
          <w:rFonts w:ascii="Times New Roman" w:hAnsi="Times New Roman" w:cs="Times New Roman"/>
          <w:sz w:val="26"/>
          <w:szCs w:val="26"/>
        </w:rPr>
        <w:t>харчуванням</w:t>
      </w:r>
      <w:proofErr w:type="spellEnd"/>
      <w:r w:rsidRPr="00A058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583E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A0583E">
        <w:rPr>
          <w:rFonts w:ascii="Times New Roman" w:hAnsi="Times New Roman" w:cs="Times New Roman"/>
          <w:sz w:val="26"/>
          <w:szCs w:val="26"/>
        </w:rPr>
        <w:t>.</w:t>
      </w:r>
    </w:p>
    <w:p w14:paraId="479477AD" w14:textId="4EC72598" w:rsidR="0047175F" w:rsidRDefault="0047175F" w:rsidP="00A40C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</w:t>
      </w:r>
      <w:r w:rsidR="002B558E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6C1352" w14:textId="77777777" w:rsidR="0047175F" w:rsidRDefault="0047175F" w:rsidP="00A40C3A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850230C" w14:textId="36303A84" w:rsidR="00A0583E" w:rsidRPr="00A0583E" w:rsidRDefault="00A0583E" w:rsidP="00A40C3A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Hlk80787339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</w:t>
      </w:r>
      <w:bookmarkEnd w:id="0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</w:p>
    <w:p w14:paraId="3E63AA05" w14:textId="77777777" w:rsidR="00E275AE" w:rsidRDefault="00E275AE" w:rsidP="00A40C3A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bookmarkStart w:id="1" w:name="_Hlk80787384"/>
    </w:p>
    <w:p w14:paraId="4D25FF80" w14:textId="77777777" w:rsidR="00AC1704" w:rsidRDefault="00AC1704" w:rsidP="00A40C3A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</w:p>
    <w:p w14:paraId="229914E9" w14:textId="0D8F4A67" w:rsidR="002B558E" w:rsidRPr="000A0AC5" w:rsidRDefault="002B558E" w:rsidP="00A40C3A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65C3EE55" w14:textId="6E960D76" w:rsidR="002B558E" w:rsidRPr="000A0AC5" w:rsidRDefault="002B558E" w:rsidP="00A40C3A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AC1704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21 </w:t>
      </w:r>
      <w:r w:rsidR="00A0583E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жовтня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 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2021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 w:rsidR="00AC1704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220</w:t>
      </w:r>
    </w:p>
    <w:bookmarkEnd w:id="1"/>
    <w:p w14:paraId="5343EA5A" w14:textId="77777777" w:rsidR="0047175F" w:rsidRDefault="0047175F" w:rsidP="00A40C3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F8252C3" w14:textId="77777777" w:rsidR="0047175F" w:rsidRDefault="0047175F" w:rsidP="00A40C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14:paraId="75ADFB66" w14:textId="6924BA31" w:rsidR="0047175F" w:rsidRDefault="0047175F" w:rsidP="00A40C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здійснення делегованих повноважень у сфері </w:t>
      </w:r>
      <w:r w:rsidR="00A0583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освіти</w:t>
      </w:r>
    </w:p>
    <w:p w14:paraId="468FDC5E" w14:textId="77777777" w:rsidR="00B143B9" w:rsidRDefault="00B143B9" w:rsidP="00A40C3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6082DA" w14:textId="77777777" w:rsidR="00A40C3A" w:rsidRPr="00E275AE" w:rsidRDefault="00A40C3A" w:rsidP="00A40C3A">
      <w:pPr>
        <w:spacing w:after="0"/>
        <w:ind w:right="139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5AE">
        <w:rPr>
          <w:rFonts w:ascii="Times New Roman" w:hAnsi="Times New Roman" w:cs="Times New Roman"/>
          <w:sz w:val="28"/>
          <w:szCs w:val="28"/>
          <w:lang w:val="uk-UA"/>
        </w:rPr>
        <w:t>У Білокриницькій територіальній громаді функціонує:</w:t>
      </w:r>
    </w:p>
    <w:p w14:paraId="7B3B256F" w14:textId="77777777" w:rsidR="00A40C3A" w:rsidRPr="00A40C3A" w:rsidRDefault="00A40C3A" w:rsidP="00A40C3A">
      <w:pPr>
        <w:pStyle w:val="a4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4A53BFA0" w14:textId="77777777" w:rsidR="00A40C3A" w:rsidRPr="00A40C3A" w:rsidRDefault="00A40C3A" w:rsidP="00A40C3A">
      <w:pPr>
        <w:pStyle w:val="a4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(Білокриницький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552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Городищенський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291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Шубківський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277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5D88AF73" w14:textId="2A1D8A6A" w:rsidR="00A40C3A" w:rsidRPr="00A40C3A" w:rsidRDefault="00A40C3A" w:rsidP="00A40C3A">
      <w:pPr>
        <w:pStyle w:val="a4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 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гімназії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Глинківська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гімназія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54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Гориньградська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-І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гімназія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42</w:t>
      </w:r>
      <w:r w:rsidRPr="00A40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Рисвянська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гімназія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50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5FBFA8D7" w14:textId="13727F73" w:rsidR="00A40C3A" w:rsidRPr="00A40C3A" w:rsidRDefault="00A40C3A" w:rsidP="00A40C3A">
      <w:pPr>
        <w:pStyle w:val="a4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заклади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(Білокриницький заклад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ясла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-садок)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типу – 1</w:t>
      </w:r>
      <w:r w:rsidRPr="00A40C3A">
        <w:rPr>
          <w:rFonts w:ascii="Times New Roman" w:hAnsi="Times New Roman" w:cs="Times New Roman"/>
          <w:sz w:val="28"/>
          <w:szCs w:val="28"/>
        </w:rPr>
        <w:t>17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вихованців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Городищенський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заклад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(дитячий садок) з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короткотривалим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перебуванням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 w:rsidRPr="00A40C3A">
        <w:rPr>
          <w:rFonts w:ascii="Times New Roman" w:hAnsi="Times New Roman" w:cs="Times New Roman"/>
          <w:sz w:val="28"/>
          <w:szCs w:val="28"/>
        </w:rPr>
        <w:t>4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вихованці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Шубківський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заклад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ясла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-садок)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типу – 1</w:t>
      </w:r>
      <w:r w:rsidRPr="00A40C3A">
        <w:rPr>
          <w:rFonts w:ascii="Times New Roman" w:hAnsi="Times New Roman" w:cs="Times New Roman"/>
          <w:sz w:val="28"/>
          <w:szCs w:val="28"/>
        </w:rPr>
        <w:t>21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вихован</w:t>
      </w:r>
      <w:r w:rsidRPr="00A40C3A">
        <w:rPr>
          <w:rFonts w:ascii="Times New Roman" w:hAnsi="Times New Roman" w:cs="Times New Roman"/>
          <w:sz w:val="28"/>
          <w:szCs w:val="28"/>
        </w:rPr>
        <w:t>ець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6BD26AE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Загалом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охоплено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усіма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формами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3A">
        <w:rPr>
          <w:rFonts w:ascii="Times New Roman" w:hAnsi="Times New Roman" w:cs="Times New Roman"/>
          <w:sz w:val="28"/>
          <w:szCs w:val="28"/>
        </w:rPr>
        <w:t>262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вихованці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1266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181D49A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процес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123 педагоги. З них – 9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директорів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(6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директорів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ЗЗСО та 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директори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ЗДО). </w:t>
      </w:r>
      <w:proofErr w:type="gram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 закладах</w:t>
      </w:r>
      <w:proofErr w:type="gram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працює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психологів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та 4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медсестри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C5E74B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організован</w:t>
      </w:r>
      <w:r w:rsidRPr="00A40C3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гаряче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 закладах</w:t>
      </w:r>
      <w:proofErr w:type="gram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до 01.10.2021 року становила </w:t>
      </w:r>
      <w:bookmarkStart w:id="2" w:name="_Hlk85540374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/день</w:t>
      </w:r>
      <w:bookmarkEnd w:id="2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з 01.10.2021 року - 20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/день.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Загалом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243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харчуються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безкоштовно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F470FCC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У закладах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до 01.10.2021 року становила 25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(Білокриницький ЗДО) та 35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Шубківський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ЗДО), а з 01.10.2021 року – 35 грн.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Встановлена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плата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батьків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або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осіб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які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їх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замінюють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, за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харчування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дітей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в закладах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дошкільної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освіти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розмірі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14 (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чотирнадцять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) грн.,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що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становить 40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відсотків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від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вартості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харчування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lang w:eastAsia="ar-SA"/>
        </w:rPr>
        <w:t>дитини</w:t>
      </w:r>
      <w:proofErr w:type="spellEnd"/>
      <w:r w:rsidRPr="00A40C3A">
        <w:rPr>
          <w:rFonts w:ascii="Times New Roman" w:hAnsi="Times New Roman" w:cs="Times New Roman"/>
          <w:sz w:val="28"/>
          <w:szCs w:val="28"/>
          <w:lang w:eastAsia="ar-SA"/>
        </w:rPr>
        <w:t xml:space="preserve"> на день.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35DFFF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Білокриницької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Pr="00A40C3A">
        <w:rPr>
          <w:rFonts w:ascii="Times New Roman" w:hAnsi="Times New Roman" w:cs="Times New Roman"/>
          <w:sz w:val="28"/>
          <w:szCs w:val="28"/>
        </w:rPr>
        <w:t>в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4 закладах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функціонували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</w:rPr>
        <w:t>пришкільні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табори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денним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</w:rPr>
        <w:t>перебуванням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Загалом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оздоровленням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пришкільних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таборах </w:t>
      </w:r>
      <w:proofErr w:type="spellStart"/>
      <w:r w:rsidRPr="00A40C3A">
        <w:rPr>
          <w:rFonts w:ascii="Times New Roman" w:hAnsi="Times New Roman" w:cs="Times New Roman"/>
          <w:sz w:val="28"/>
          <w:szCs w:val="28"/>
        </w:rPr>
        <w:t>охоплено</w:t>
      </w:r>
      <w:proofErr w:type="spellEnd"/>
      <w:r w:rsidRPr="00A40C3A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A40C3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з них 158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пільгових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категорій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становила 24,85 грн.</w:t>
      </w:r>
    </w:p>
    <w:p w14:paraId="31DF2024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санітарного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регламенту для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загальної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середньої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підвезення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250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Шкільним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автобусом Білокриницького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забезпечено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підвезенням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66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довіз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решт</w:t>
      </w:r>
      <w:r w:rsidRPr="00A40C3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спеціалізованими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автомобільними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перевезеннями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E0CB23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У Білокриницькому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3A">
        <w:rPr>
          <w:rFonts w:ascii="Times New Roman" w:hAnsi="Times New Roman" w:cs="Times New Roman"/>
          <w:sz w:val="28"/>
          <w:szCs w:val="28"/>
        </w:rPr>
        <w:t>8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3A">
        <w:rPr>
          <w:rFonts w:ascii="Times New Roman" w:hAnsi="Times New Roman" w:cs="Times New Roman"/>
          <w:sz w:val="28"/>
          <w:szCs w:val="28"/>
        </w:rPr>
        <w:t>в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3A">
        <w:rPr>
          <w:rFonts w:ascii="Times New Roman" w:hAnsi="Times New Roman" w:cs="Times New Roman"/>
          <w:sz w:val="28"/>
          <w:szCs w:val="28"/>
        </w:rPr>
        <w:t>6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класах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інклюзивному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Городищенському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3A">
        <w:rPr>
          <w:rFonts w:ascii="Times New Roman" w:hAnsi="Times New Roman" w:cs="Times New Roman"/>
          <w:sz w:val="28"/>
          <w:szCs w:val="28"/>
        </w:rPr>
        <w:t>1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здобувач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перебуває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C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інклюзивному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навчанні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В Білокриницькому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інклюзивного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корекційно-розвиткових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занять,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 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висновком</w:t>
      </w:r>
      <w:proofErr w:type="spellEnd"/>
      <w:proofErr w:type="gram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комплексну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психолого-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педагогічну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оцінку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розвитку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дитини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,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організовано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заняття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зі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спеціалістами</w:t>
      </w:r>
      <w:proofErr w:type="spellEnd"/>
      <w:r w:rsidRPr="00A40C3A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КУ 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Городоцький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інклюзивно-ресурсний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центр»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Городоцької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сільської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ради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Рівненського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району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Рівненської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області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65DDD12F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січні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2021 року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було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проведено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аналіз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підключення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Білокриницької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сільської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ради до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мережі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“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Інтернет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” та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проведені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необхідні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дії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для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забезпечення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інтернетом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усіх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сьогодні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наявне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оптоволоконне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підключення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всіх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закладах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швидкістю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з’єднання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 100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Мбіт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/с.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Це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необхідн</w:t>
      </w:r>
      <w:r w:rsidRPr="00A40C3A">
        <w:rPr>
          <w:rFonts w:ascii="Times New Roman" w:hAnsi="Times New Roman" w:cs="Times New Roman"/>
          <w:sz w:val="28"/>
          <w:szCs w:val="28"/>
          <w:highlight w:val="white"/>
        </w:rPr>
        <w:t>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для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навчального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процесу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швидкість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як</w:t>
      </w:r>
      <w:r w:rsidRPr="00A40C3A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дає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можливість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ефективно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працювати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онлайн та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використовувати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потрібний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для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навчання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A40C3A">
        <w:rPr>
          <w:rFonts w:ascii="Times New Roman" w:hAnsi="Times New Roman" w:cs="Times New Roman"/>
          <w:sz w:val="28"/>
          <w:szCs w:val="28"/>
          <w:highlight w:val="white"/>
        </w:rPr>
        <w:t>контент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09AEDF41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Велика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увага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відділу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приділяється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highlight w:val="white"/>
        </w:rPr>
        <w:t>комп'ютеризації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Pr="00A40C3A">
        <w:rPr>
          <w:rFonts w:ascii="Times New Roman" w:hAnsi="Times New Roman" w:cs="Times New Roman"/>
          <w:sz w:val="28"/>
          <w:szCs w:val="28"/>
          <w:highlight w:val="white"/>
        </w:rPr>
        <w:t>З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кошти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субвенції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НУШ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highlight w:val="white"/>
        </w:rPr>
        <w:t>придбано</w:t>
      </w:r>
      <w:proofErr w:type="spellEnd"/>
      <w:r w:rsidRPr="00A40C3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ноутбуків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класи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де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навчаються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учні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перших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класів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Відповідно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до постанови КМУ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від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21.04.2021 №403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Рівненською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обласною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державною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адміністрацією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було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здійснено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розподіл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ноутбуків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для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дистанційного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навчання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Рівненській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області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заклади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загальної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сереньої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Білокриницької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сільської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ради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виділено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20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ноутбуків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загальну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вартість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400 800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грн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за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умови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співфінансування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з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місцевого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бюджету </w:t>
      </w:r>
      <w:r w:rsidRPr="00A40C3A">
        <w:rPr>
          <w:rFonts w:ascii="Times New Roman" w:hAnsi="Times New Roman" w:cs="Times New Roman"/>
          <w:sz w:val="28"/>
          <w:szCs w:val="28"/>
          <w:highlight w:val="white"/>
        </w:rPr>
        <w:t>в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розмірі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40 080 грн.</w:t>
      </w:r>
    </w:p>
    <w:p w14:paraId="14B778AA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Підводячи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підсумки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роботи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закладів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освіти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Білокриницької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сільської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ради,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слід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sz w:val="28"/>
          <w:szCs w:val="28"/>
          <w:highlight w:val="white"/>
        </w:rPr>
        <w:t>за</w:t>
      </w:r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значити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наступне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</w:p>
    <w:p w14:paraId="5D9CC023" w14:textId="77777777" w:rsidR="00A40C3A" w:rsidRPr="00A40C3A" w:rsidRDefault="00A40C3A" w:rsidP="00A40C3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Учителька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Білокриницького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дипломант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всеукраїнського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 «Учитель року – 2021»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номінація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«Математика»);</w:t>
      </w:r>
    </w:p>
    <w:p w14:paraId="6183E943" w14:textId="77777777" w:rsidR="00A40C3A" w:rsidRPr="00A40C3A" w:rsidRDefault="00A40C3A" w:rsidP="00A40C3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9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Шубківського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– призер (ІІІ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обласного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етапу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конкурсу-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науково-дослідницьких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учнів-членів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МАН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секція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«Фольклористика»);</w:t>
      </w:r>
    </w:p>
    <w:p w14:paraId="1C98946C" w14:textId="77777777" w:rsidR="00A40C3A" w:rsidRPr="00A40C3A" w:rsidRDefault="00A40C3A" w:rsidP="00A40C3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Учениці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Шубківського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посіли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ІІ та ІІІ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обласному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етапі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читців-декламаторів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«В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Тарасовій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думі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Лесиній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пісні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живе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Україна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моя»;</w:t>
      </w:r>
    </w:p>
    <w:p w14:paraId="2482A7FC" w14:textId="77777777" w:rsidR="00A40C3A" w:rsidRPr="00A40C3A" w:rsidRDefault="00A40C3A" w:rsidP="00A40C3A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Учениця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Білокриницького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здобула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перемогу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обласному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етапі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всеукраїнського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фестивалю «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Лірики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номінація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«Вокал»);</w:t>
      </w:r>
    </w:p>
    <w:p w14:paraId="43734397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Учень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Білокриницького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ліцею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здобув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перемогу на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заключному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етапі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всеукраїнського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фестивалю «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Лірики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номінація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«Вокал»);</w:t>
      </w:r>
    </w:p>
    <w:p w14:paraId="37F4D7EA" w14:textId="77777777" w:rsidR="00A40C3A" w:rsidRP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- 11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учителів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учасниками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XVIII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обласного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конкурсу-ярмарку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0C3A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A4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0C009A" w14:textId="77777777" w:rsidR="00A40C3A" w:rsidRDefault="00A40C3A" w:rsidP="00A40C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7C67E9A" w14:textId="77777777" w:rsidR="00B143B9" w:rsidRDefault="00B143B9" w:rsidP="00A40C3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601E367" w14:textId="77777777" w:rsidR="00B143B9" w:rsidRDefault="00B143B9" w:rsidP="00A40C3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відділу 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освіти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, сім’ї, </w:t>
      </w:r>
    </w:p>
    <w:p w14:paraId="3B5AB2C0" w14:textId="3D3FD464" w:rsidR="00B143B9" w:rsidRPr="00B143B9" w:rsidRDefault="00B143B9" w:rsidP="00A40C3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молоді,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Pr="00B143B9"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>спорту, культури та туризму</w:t>
      </w:r>
      <w:r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  <w:t xml:space="preserve">                                         Наталія  ЛІСНІЧУК                </w:t>
      </w:r>
    </w:p>
    <w:p w14:paraId="2E925BEF" w14:textId="77777777" w:rsidR="0047175F" w:rsidRPr="00B143B9" w:rsidRDefault="0047175F" w:rsidP="00A40C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7175F" w:rsidRPr="00B143B9" w:rsidSect="00F162D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EB53CEF"/>
    <w:multiLevelType w:val="multilevel"/>
    <w:tmpl w:val="DFB858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F33B30"/>
    <w:multiLevelType w:val="hybridMultilevel"/>
    <w:tmpl w:val="94EC8500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91B"/>
    <w:multiLevelType w:val="hybridMultilevel"/>
    <w:tmpl w:val="C7382D96"/>
    <w:lvl w:ilvl="0" w:tplc="555E834C">
      <w:start w:val="1"/>
      <w:numFmt w:val="bullet"/>
      <w:lvlText w:val="-"/>
      <w:lvlJc w:val="left"/>
      <w:pPr>
        <w:ind w:left="364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abstractNum w:abstractNumId="5" w15:restartNumberingAfterBreak="0">
    <w:nsid w:val="4BB10A47"/>
    <w:multiLevelType w:val="hybridMultilevel"/>
    <w:tmpl w:val="3CFCF026"/>
    <w:lvl w:ilvl="0" w:tplc="8236CAA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86D1DFF"/>
    <w:multiLevelType w:val="hybridMultilevel"/>
    <w:tmpl w:val="02E8F3B8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67CB290C"/>
    <w:multiLevelType w:val="hybridMultilevel"/>
    <w:tmpl w:val="DB689E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982E7B"/>
    <w:multiLevelType w:val="multilevel"/>
    <w:tmpl w:val="FA3424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7C714948"/>
    <w:multiLevelType w:val="hybridMultilevel"/>
    <w:tmpl w:val="402E7D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75F"/>
    <w:rsid w:val="00052C9A"/>
    <w:rsid w:val="002B558E"/>
    <w:rsid w:val="003F209A"/>
    <w:rsid w:val="0047175F"/>
    <w:rsid w:val="005935EA"/>
    <w:rsid w:val="00A0583E"/>
    <w:rsid w:val="00A40C3A"/>
    <w:rsid w:val="00AC1704"/>
    <w:rsid w:val="00B143B9"/>
    <w:rsid w:val="00BB5C69"/>
    <w:rsid w:val="00E275AE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A884"/>
  <w15:docId w15:val="{4A423AA1-954E-4892-BB23-FB84AE91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7175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7175F"/>
    <w:pPr>
      <w:ind w:left="720"/>
      <w:contextualSpacing/>
    </w:pPr>
  </w:style>
  <w:style w:type="paragraph" w:customStyle="1" w:styleId="rtejustify">
    <w:name w:val="rtejustify"/>
    <w:basedOn w:val="a"/>
    <w:rsid w:val="0047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71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16</cp:revision>
  <cp:lastPrinted>2021-10-22T09:19:00Z</cp:lastPrinted>
  <dcterms:created xsi:type="dcterms:W3CDTF">2020-03-31T07:43:00Z</dcterms:created>
  <dcterms:modified xsi:type="dcterms:W3CDTF">2021-10-22T09:19:00Z</dcterms:modified>
</cp:coreProperties>
</file>