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5822B" w14:textId="77777777" w:rsidR="000B30F8" w:rsidRPr="007754C6" w:rsidRDefault="000B30F8" w:rsidP="000B30F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54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7754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7754C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754C6">
        <w:rPr>
          <w:rFonts w:ascii="Times New Roman" w:eastAsia="Times New Roman" w:hAnsi="Times New Roman" w:cs="Times New Roman"/>
          <w:sz w:val="24"/>
          <w:szCs w:val="24"/>
          <w:lang w:val="uk-UA"/>
        </w:rPr>
        <w:t>ПРОЕКТ</w:t>
      </w:r>
    </w:p>
    <w:p w14:paraId="1B0F7FFE" w14:textId="77777777" w:rsidR="000B30F8" w:rsidRPr="007754C6" w:rsidRDefault="000B30F8" w:rsidP="000B30F8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4C6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4F9293C3" wp14:editId="453B837F">
            <wp:extent cx="458391" cy="666750"/>
            <wp:effectExtent l="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10" cy="66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DFAFB" w14:textId="77777777" w:rsidR="000B30F8" w:rsidRPr="007754C6" w:rsidRDefault="000B30F8" w:rsidP="000B30F8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</w:rPr>
      </w:pPr>
      <w:r w:rsidRPr="007754C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Білокриниць</w:t>
      </w:r>
      <w:r w:rsidRPr="007754C6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</w:rPr>
        <w:t>ка</w:t>
      </w:r>
      <w:r w:rsidRPr="007754C6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uk-UA"/>
        </w:rPr>
        <w:t xml:space="preserve"> </w:t>
      </w:r>
      <w:r w:rsidRPr="007754C6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</w:rPr>
        <w:t>сільська</w:t>
      </w:r>
      <w:r w:rsidRPr="007754C6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uk-UA"/>
        </w:rPr>
        <w:t xml:space="preserve"> </w:t>
      </w:r>
      <w:r w:rsidRPr="007754C6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</w:rPr>
        <w:t>рада</w:t>
      </w:r>
    </w:p>
    <w:p w14:paraId="79824280" w14:textId="77777777" w:rsidR="000B30F8" w:rsidRPr="007754C6" w:rsidRDefault="000B30F8" w:rsidP="000B30F8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r w:rsidRPr="007754C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Рівненського</w:t>
      </w:r>
      <w:r w:rsidRPr="007754C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 xml:space="preserve"> </w:t>
      </w:r>
      <w:proofErr w:type="gramStart"/>
      <w:r w:rsidRPr="007754C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району</w:t>
      </w:r>
      <w:r w:rsidRPr="007754C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 xml:space="preserve">  </w:t>
      </w:r>
      <w:r w:rsidRPr="007754C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Рівненсько</w:t>
      </w:r>
      <w:r w:rsidRPr="007754C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>Ї</w:t>
      </w:r>
      <w:proofErr w:type="gramEnd"/>
      <w:r w:rsidRPr="007754C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 xml:space="preserve"> </w:t>
      </w:r>
      <w:r w:rsidRPr="007754C6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14:paraId="153E281B" w14:textId="77777777" w:rsidR="000B30F8" w:rsidRPr="007754C6" w:rsidRDefault="000B30F8" w:rsidP="000B3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4C6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7754C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___________чергова сесія восьмого </w:t>
      </w:r>
      <w:r w:rsidRPr="007754C6">
        <w:rPr>
          <w:rFonts w:ascii="Times New Roman" w:eastAsia="Times New Roman" w:hAnsi="Times New Roman" w:cs="Times New Roman"/>
          <w:b/>
          <w:sz w:val="28"/>
          <w:szCs w:val="28"/>
        </w:rPr>
        <w:t>скликання)</w:t>
      </w:r>
    </w:p>
    <w:p w14:paraId="0C95542D" w14:textId="77777777" w:rsidR="000B30F8" w:rsidRPr="007754C6" w:rsidRDefault="000B30F8" w:rsidP="000B30F8">
      <w:pPr>
        <w:spacing w:after="0" w:line="240" w:lineRule="auto"/>
        <w:rPr>
          <w:rFonts w:ascii="Times New Roman" w:eastAsia="Times New Roman" w:hAnsi="Times New Roman" w:cs="Arial"/>
          <w:b/>
          <w:sz w:val="16"/>
          <w:szCs w:val="16"/>
        </w:rPr>
      </w:pPr>
      <w:r w:rsidRPr="007754C6">
        <w:rPr>
          <w:rFonts w:ascii="Times New Roman" w:eastAsia="Times New Roman" w:hAnsi="Times New Roman" w:cs="Arial"/>
          <w:b/>
          <w:sz w:val="28"/>
          <w:szCs w:val="28"/>
          <w:lang w:val="uk-UA"/>
        </w:rPr>
        <w:t xml:space="preserve">  </w:t>
      </w:r>
    </w:p>
    <w:p w14:paraId="57CAF6F2" w14:textId="77777777" w:rsidR="000B30F8" w:rsidRPr="007754C6" w:rsidRDefault="000B30F8" w:rsidP="000B30F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val="uk-UA"/>
        </w:rPr>
      </w:pPr>
      <w:r w:rsidRPr="007754C6">
        <w:rPr>
          <w:rFonts w:ascii="Times New Roman" w:eastAsia="Times New Roman" w:hAnsi="Times New Roman" w:cs="Arial"/>
          <w:b/>
          <w:sz w:val="28"/>
          <w:szCs w:val="28"/>
          <w:lang w:val="uk-UA"/>
        </w:rPr>
        <w:t>РІШЕННЯ</w:t>
      </w:r>
    </w:p>
    <w:p w14:paraId="20708F63" w14:textId="77777777" w:rsidR="000B30F8" w:rsidRPr="007754C6" w:rsidRDefault="000B30F8" w:rsidP="000B30F8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u w:val="single"/>
          <w:lang w:val="uk-UA"/>
        </w:rPr>
      </w:pPr>
    </w:p>
    <w:p w14:paraId="19398AE8" w14:textId="77777777" w:rsidR="000B30F8" w:rsidRPr="007754C6" w:rsidRDefault="000B30F8" w:rsidP="000B3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54C6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_________________2021 року                                                                         №____</w:t>
      </w:r>
    </w:p>
    <w:p w14:paraId="1D1C6982" w14:textId="67767491" w:rsidR="007033C4" w:rsidRDefault="007033C4" w:rsidP="00703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0DA1AE1E" w14:textId="0F36E187" w:rsidR="007033C4" w:rsidRPr="000B30F8" w:rsidRDefault="007033C4" w:rsidP="00DE0B8C">
      <w:pPr>
        <w:spacing w:after="0"/>
        <w:ind w:right="4252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0B30F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внесення змін  до </w:t>
      </w:r>
      <w:bookmarkStart w:id="0" w:name="_Hlk65594877"/>
      <w:r w:rsidR="001D5DEF" w:rsidRPr="000B30F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Програм</w:t>
      </w:r>
      <w:r w:rsidR="00E6517B" w:rsidRPr="000B30F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</w:t>
      </w:r>
      <w:r w:rsidR="001D5DEF" w:rsidRPr="000B30F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розвитку та фінансової підтримки комунального Підприємства «Рівненський районний центр первинної медико-санітарної доп</w:t>
      </w:r>
      <w:bookmarkStart w:id="1" w:name="_GoBack"/>
      <w:bookmarkEnd w:id="1"/>
      <w:r w:rsidR="001D5DEF" w:rsidRPr="000B30F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омоги» Рівненської районної ради на 2021-2022 роки</w:t>
      </w:r>
      <w:bookmarkEnd w:id="0"/>
    </w:p>
    <w:p w14:paraId="4776B842" w14:textId="77777777" w:rsidR="00DE0B8C" w:rsidRPr="00922F43" w:rsidRDefault="00DE0B8C" w:rsidP="00E6517B">
      <w:pPr>
        <w:spacing w:after="0"/>
        <w:ind w:right="5103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14:paraId="0EA162E8" w14:textId="3670FD16" w:rsidR="007033C4" w:rsidRDefault="007033C4" w:rsidP="00536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сільського голови</w:t>
      </w:r>
      <w:r w:rsidR="008E5A8C">
        <w:rPr>
          <w:rFonts w:ascii="Times New Roman" w:hAnsi="Times New Roman" w:cs="Times New Roman"/>
          <w:sz w:val="28"/>
          <w:szCs w:val="28"/>
          <w:lang w:val="uk-UA"/>
        </w:rPr>
        <w:t xml:space="preserve"> Тетяни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Гончарук про необхідність </w:t>
      </w:r>
      <w:bookmarkStart w:id="2" w:name="_Hlk65596483"/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</w:t>
      </w:r>
      <w:bookmarkStart w:id="3" w:name="_Hlk65595185"/>
      <w:r w:rsidR="008E5A8C" w:rsidRPr="008E5A8C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8E5A8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E5A8C" w:rsidRPr="008E5A8C">
        <w:rPr>
          <w:rFonts w:ascii="Times New Roman" w:hAnsi="Times New Roman" w:cs="Times New Roman"/>
          <w:sz w:val="28"/>
          <w:szCs w:val="28"/>
          <w:lang w:val="uk-UA"/>
        </w:rPr>
        <w:t xml:space="preserve"> розвитку та фінансової підтримки комунального Підприємства «Рівненський районний центр первинної медико-санітарної допомоги» Рівненської районної ради на 2021-2022 роки</w:t>
      </w:r>
      <w:bookmarkEnd w:id="2"/>
      <w:bookmarkEnd w:id="3"/>
      <w:r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необхідність внесення змін за вимогами часу та </w:t>
      </w:r>
      <w:r w:rsidR="008E5A8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E5A8C" w:rsidRPr="008E5A8C">
        <w:rPr>
          <w:rFonts w:ascii="Times New Roman" w:hAnsi="Times New Roman" w:cs="Times New Roman"/>
          <w:sz w:val="28"/>
          <w:szCs w:val="28"/>
          <w:lang w:val="uk-UA"/>
        </w:rPr>
        <w:t xml:space="preserve"> метою забезпечення фінансового ресурсу для забезпечення надання населенню територіальної громади медичної допомоги та медичних послуг, спрямованих на збереження, поліпшення та відновлення здоров’я населення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</w:t>
      </w:r>
      <w:r w:rsidR="008E5A8C">
        <w:rPr>
          <w:rFonts w:ascii="Times New Roman" w:hAnsi="Times New Roman" w:cs="Times New Roman"/>
          <w:sz w:val="28"/>
          <w:szCs w:val="28"/>
          <w:lang w:val="uk-UA"/>
        </w:rPr>
        <w:t>статтею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26 Закону України «Про місцеве самоврядування в Україні»,  </w:t>
      </w:r>
      <w:r w:rsidR="008E5A8C">
        <w:rPr>
          <w:rFonts w:ascii="Times New Roman" w:hAnsi="Times New Roman" w:cs="Times New Roman"/>
          <w:sz w:val="28"/>
          <w:szCs w:val="28"/>
          <w:lang w:val="uk-UA"/>
        </w:rPr>
        <w:t>за погодженням з постійними комісіями</w:t>
      </w:r>
      <w:r w:rsidR="008E5A8C" w:rsidRPr="008E5A8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25027"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</w:p>
    <w:p w14:paraId="4399BCC4" w14:textId="1AF615E3" w:rsidR="00DE0B8C" w:rsidRPr="000B30F8" w:rsidRDefault="007033C4" w:rsidP="00536D4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B30F8">
        <w:rPr>
          <w:rFonts w:ascii="Times New Roman" w:hAnsi="Times New Roman" w:cs="Times New Roman"/>
          <w:bCs/>
          <w:sz w:val="28"/>
          <w:szCs w:val="28"/>
          <w:lang w:val="uk-UA"/>
        </w:rPr>
        <w:t>ВИРІШИЛА:</w:t>
      </w:r>
    </w:p>
    <w:p w14:paraId="7AA0B986" w14:textId="6F8021A8" w:rsidR="00DE0B8C" w:rsidRDefault="00E6517B" w:rsidP="00536D4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6517B">
        <w:rPr>
          <w:rFonts w:ascii="Times New Roman" w:hAnsi="Times New Roman" w:cs="Times New Roman"/>
          <w:sz w:val="28"/>
          <w:szCs w:val="28"/>
          <w:lang w:val="uk-UA"/>
        </w:rPr>
        <w:t>нес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proofErr w:type="spellEnd"/>
      <w:r w:rsidRPr="00E6517B">
        <w:rPr>
          <w:rFonts w:ascii="Times New Roman" w:hAnsi="Times New Roman" w:cs="Times New Roman"/>
          <w:sz w:val="28"/>
          <w:szCs w:val="28"/>
          <w:lang w:val="uk-UA"/>
        </w:rPr>
        <w:t xml:space="preserve"> змін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6517B">
        <w:rPr>
          <w:rFonts w:ascii="Times New Roman" w:hAnsi="Times New Roman" w:cs="Times New Roman"/>
          <w:sz w:val="28"/>
          <w:szCs w:val="28"/>
          <w:lang w:val="uk-UA"/>
        </w:rPr>
        <w:t xml:space="preserve"> до Програми розвитку та фінансової підтримки комунального Підприємства «Рівненський районний центр первинної медико-санітарної допомоги» Рівненської районної ради на 2021-2022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E0B8C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затвердженої рішенням сесії Білокриницької сільської ради № 17 від 09.12.2020 року, виклавши додаток до Програми </w:t>
      </w:r>
      <w:r w:rsidR="0020478D" w:rsidRPr="0020478D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20478D">
        <w:rPr>
          <w:rFonts w:ascii="Times New Roman" w:hAnsi="Times New Roman" w:cs="Times New Roman"/>
          <w:sz w:val="28"/>
          <w:szCs w:val="28"/>
          <w:lang w:val="uk-UA"/>
        </w:rPr>
        <w:t>новій редакції</w:t>
      </w:r>
      <w:r w:rsidR="00DE0B8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BABB4A1" w14:textId="77777777" w:rsidR="00DE0B8C" w:rsidRDefault="000B5F77" w:rsidP="00DE0B8C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E651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4" w:name="_Hlk66358503"/>
      <w:proofErr w:type="spellStart"/>
      <w:r w:rsidR="00DE0B8C">
        <w:rPr>
          <w:rFonts w:asciiTheme="majorBidi" w:hAnsiTheme="majorBidi" w:cstheme="majorBidi"/>
          <w:b/>
          <w:bCs/>
          <w:i/>
          <w:iCs/>
          <w:sz w:val="28"/>
          <w:szCs w:val="28"/>
        </w:rPr>
        <w:t>Прогнозовані</w:t>
      </w:r>
      <w:proofErr w:type="spellEnd"/>
      <w:r w:rsidR="00DE0B8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spellStart"/>
      <w:r w:rsidR="00DE0B8C">
        <w:rPr>
          <w:rFonts w:asciiTheme="majorBidi" w:hAnsiTheme="majorBidi" w:cstheme="majorBidi"/>
          <w:b/>
          <w:bCs/>
          <w:i/>
          <w:iCs/>
          <w:sz w:val="28"/>
          <w:szCs w:val="28"/>
        </w:rPr>
        <w:t>обсяги</w:t>
      </w:r>
      <w:proofErr w:type="spellEnd"/>
    </w:p>
    <w:p w14:paraId="251260E0" w14:textId="0613C0DA" w:rsidR="00DE0B8C" w:rsidRDefault="00DE0B8C" w:rsidP="00DE0B8C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фінансової</w:t>
      </w:r>
      <w:proofErr w:type="spellEnd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підтримки</w:t>
      </w:r>
      <w:proofErr w:type="spellEnd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для </w:t>
      </w:r>
      <w:proofErr w:type="spellStart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виконання</w:t>
      </w:r>
      <w:proofErr w:type="spellEnd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завдань</w:t>
      </w:r>
      <w:proofErr w:type="spellEnd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Програми</w:t>
      </w:r>
      <w:proofErr w:type="spellEnd"/>
    </w:p>
    <w:tbl>
      <w:tblPr>
        <w:tblStyle w:val="a9"/>
        <w:tblW w:w="9634" w:type="dxa"/>
        <w:jc w:val="center"/>
        <w:tblLook w:val="04A0" w:firstRow="1" w:lastRow="0" w:firstColumn="1" w:lastColumn="0" w:noHBand="0" w:noVBand="1"/>
      </w:tblPr>
      <w:tblGrid>
        <w:gridCol w:w="617"/>
        <w:gridCol w:w="5048"/>
        <w:gridCol w:w="3969"/>
      </w:tblGrid>
      <w:tr w:rsidR="00DE0B8C" w14:paraId="7E316BE3" w14:textId="77777777" w:rsidTr="00536D49">
        <w:trPr>
          <w:trHeight w:val="976"/>
          <w:jc w:val="center"/>
        </w:trPr>
        <w:tc>
          <w:tcPr>
            <w:tcW w:w="617" w:type="dxa"/>
            <w:vAlign w:val="center"/>
          </w:tcPr>
          <w:p w14:paraId="4D1B2513" w14:textId="77777777" w:rsidR="00DE0B8C" w:rsidRPr="00E32284" w:rsidRDefault="00DE0B8C" w:rsidP="00014D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3228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№</w:t>
            </w:r>
          </w:p>
          <w:p w14:paraId="256A307B" w14:textId="77777777" w:rsidR="00DE0B8C" w:rsidRPr="00E32284" w:rsidRDefault="00DE0B8C" w:rsidP="00014D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3228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048" w:type="dxa"/>
            <w:vAlign w:val="center"/>
          </w:tcPr>
          <w:p w14:paraId="75D2ABB5" w14:textId="77777777" w:rsidR="00DE0B8C" w:rsidRPr="00E32284" w:rsidRDefault="00DE0B8C" w:rsidP="00014D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E3228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3969" w:type="dxa"/>
            <w:vAlign w:val="center"/>
          </w:tcPr>
          <w:p w14:paraId="2E123478" w14:textId="77777777" w:rsidR="00DE0B8C" w:rsidRPr="00E32284" w:rsidRDefault="00DE0B8C" w:rsidP="00014D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E3228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Орієнтовані</w:t>
            </w:r>
            <w:proofErr w:type="spellEnd"/>
            <w:r w:rsidRPr="00E3228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3228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обсяги</w:t>
            </w:r>
            <w:proofErr w:type="spellEnd"/>
            <w:r w:rsidRPr="00E3228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  <w:p w14:paraId="0B73A0DC" w14:textId="77777777" w:rsidR="00DE0B8C" w:rsidRPr="00E32284" w:rsidRDefault="00DE0B8C" w:rsidP="00014D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E3228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фінансової</w:t>
            </w:r>
            <w:proofErr w:type="spellEnd"/>
            <w:r w:rsidRPr="00E3228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3228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підтримки</w:t>
            </w:r>
            <w:proofErr w:type="spellEnd"/>
            <w:r w:rsidRPr="00E3228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  <w:p w14:paraId="6DEED36A" w14:textId="77777777" w:rsidR="00DE0B8C" w:rsidRPr="00E32284" w:rsidRDefault="00DE0B8C" w:rsidP="00014D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3228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на 2021 </w:t>
            </w:r>
            <w:proofErr w:type="spellStart"/>
            <w:r w:rsidRPr="00E3228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рік</w:t>
            </w:r>
            <w:proofErr w:type="spellEnd"/>
            <w:r w:rsidRPr="00E3228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, тис. грн.</w:t>
            </w:r>
          </w:p>
        </w:tc>
      </w:tr>
      <w:tr w:rsidR="00DE0B8C" w14:paraId="5A71DB84" w14:textId="77777777" w:rsidTr="00536D49">
        <w:trPr>
          <w:trHeight w:val="1131"/>
          <w:jc w:val="center"/>
        </w:trPr>
        <w:tc>
          <w:tcPr>
            <w:tcW w:w="617" w:type="dxa"/>
            <w:vAlign w:val="center"/>
          </w:tcPr>
          <w:p w14:paraId="4904D056" w14:textId="77777777" w:rsidR="00DE0B8C" w:rsidRPr="00E32284" w:rsidRDefault="00DE0B8C" w:rsidP="00014D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32284">
              <w:rPr>
                <w:rFonts w:asciiTheme="majorBidi" w:hAnsiTheme="majorBidi" w:cstheme="majorBidi"/>
                <w:sz w:val="28"/>
                <w:szCs w:val="28"/>
              </w:rPr>
              <w:t>1.</w:t>
            </w:r>
          </w:p>
        </w:tc>
        <w:tc>
          <w:tcPr>
            <w:tcW w:w="5048" w:type="dxa"/>
            <w:vAlign w:val="center"/>
          </w:tcPr>
          <w:p w14:paraId="58B94A3C" w14:textId="77777777" w:rsidR="00DE0B8C" w:rsidRPr="00E32284" w:rsidRDefault="00DE0B8C" w:rsidP="00014DE8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32284">
              <w:rPr>
                <w:rFonts w:asciiTheme="majorBidi" w:hAnsiTheme="majorBidi" w:cstheme="majorBidi"/>
                <w:sz w:val="28"/>
                <w:szCs w:val="28"/>
              </w:rPr>
              <w:t>Первинна</w:t>
            </w:r>
            <w:proofErr w:type="spellEnd"/>
            <w:r w:rsidRPr="00E3228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32284">
              <w:rPr>
                <w:rFonts w:asciiTheme="majorBidi" w:hAnsiTheme="majorBidi" w:cstheme="majorBidi"/>
                <w:sz w:val="28"/>
                <w:szCs w:val="28"/>
              </w:rPr>
              <w:t>медична</w:t>
            </w:r>
            <w:proofErr w:type="spellEnd"/>
            <w:r w:rsidRPr="00E3228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32284">
              <w:rPr>
                <w:rFonts w:asciiTheme="majorBidi" w:hAnsiTheme="majorBidi" w:cstheme="majorBidi"/>
                <w:sz w:val="28"/>
                <w:szCs w:val="28"/>
              </w:rPr>
              <w:t>допомога</w:t>
            </w:r>
            <w:proofErr w:type="spellEnd"/>
            <w:r w:rsidRPr="00E3228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32284">
              <w:rPr>
                <w:rFonts w:asciiTheme="majorBidi" w:hAnsiTheme="majorBidi" w:cstheme="majorBidi"/>
                <w:sz w:val="28"/>
                <w:szCs w:val="28"/>
              </w:rPr>
              <w:t>населенню</w:t>
            </w:r>
            <w:proofErr w:type="spellEnd"/>
            <w:r w:rsidRPr="00E32284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proofErr w:type="spellStart"/>
            <w:r w:rsidRPr="00E32284">
              <w:rPr>
                <w:rFonts w:asciiTheme="majorBidi" w:hAnsiTheme="majorBidi" w:cstheme="majorBidi"/>
                <w:sz w:val="28"/>
                <w:szCs w:val="28"/>
              </w:rPr>
              <w:t>що</w:t>
            </w:r>
            <w:proofErr w:type="spellEnd"/>
            <w:r w:rsidRPr="00E3228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32284">
              <w:rPr>
                <w:rFonts w:asciiTheme="majorBidi" w:hAnsiTheme="majorBidi" w:cstheme="majorBidi"/>
                <w:sz w:val="28"/>
                <w:szCs w:val="28"/>
              </w:rPr>
              <w:t>надається</w:t>
            </w:r>
            <w:proofErr w:type="spellEnd"/>
            <w:r w:rsidRPr="00E32284">
              <w:rPr>
                <w:rFonts w:asciiTheme="majorBidi" w:hAnsiTheme="majorBidi" w:cstheme="majorBidi"/>
                <w:sz w:val="28"/>
                <w:szCs w:val="28"/>
              </w:rPr>
              <w:t xml:space="preserve"> центрам </w:t>
            </w:r>
            <w:proofErr w:type="spellStart"/>
            <w:r w:rsidRPr="00E32284">
              <w:rPr>
                <w:rFonts w:asciiTheme="majorBidi" w:hAnsiTheme="majorBidi" w:cstheme="majorBidi"/>
                <w:sz w:val="28"/>
                <w:szCs w:val="28"/>
              </w:rPr>
              <w:t>первинної</w:t>
            </w:r>
            <w:proofErr w:type="spellEnd"/>
            <w:r w:rsidRPr="00E3228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32284">
              <w:rPr>
                <w:rFonts w:asciiTheme="majorBidi" w:hAnsiTheme="majorBidi" w:cstheme="majorBidi"/>
                <w:sz w:val="28"/>
                <w:szCs w:val="28"/>
              </w:rPr>
              <w:t>медичної</w:t>
            </w:r>
            <w:proofErr w:type="spellEnd"/>
            <w:r w:rsidRPr="00E3228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32284">
              <w:rPr>
                <w:rFonts w:asciiTheme="majorBidi" w:hAnsiTheme="majorBidi" w:cstheme="majorBidi"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3969" w:type="dxa"/>
            <w:vAlign w:val="center"/>
          </w:tcPr>
          <w:p w14:paraId="5761B537" w14:textId="3CC21E44" w:rsidR="00DE0B8C" w:rsidRPr="00E32284" w:rsidRDefault="00EC45C4" w:rsidP="00014D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481,8</w:t>
            </w:r>
          </w:p>
        </w:tc>
      </w:tr>
      <w:tr w:rsidR="00DE0B8C" w14:paraId="6761196D" w14:textId="77777777" w:rsidTr="00536D49">
        <w:trPr>
          <w:trHeight w:val="833"/>
          <w:jc w:val="center"/>
        </w:trPr>
        <w:tc>
          <w:tcPr>
            <w:tcW w:w="617" w:type="dxa"/>
            <w:vAlign w:val="center"/>
          </w:tcPr>
          <w:p w14:paraId="5CFF3D4E" w14:textId="77777777" w:rsidR="00DE0B8C" w:rsidRPr="00E32284" w:rsidRDefault="00DE0B8C" w:rsidP="00014D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32284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2.</w:t>
            </w:r>
          </w:p>
        </w:tc>
        <w:tc>
          <w:tcPr>
            <w:tcW w:w="5048" w:type="dxa"/>
            <w:vAlign w:val="center"/>
          </w:tcPr>
          <w:p w14:paraId="46DFB7D2" w14:textId="77777777" w:rsidR="00DE0B8C" w:rsidRPr="00E32284" w:rsidRDefault="00DE0B8C" w:rsidP="00014DE8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32284">
              <w:rPr>
                <w:rFonts w:asciiTheme="majorBidi" w:hAnsiTheme="majorBidi" w:cstheme="majorBidi"/>
                <w:sz w:val="28"/>
                <w:szCs w:val="28"/>
              </w:rPr>
              <w:t>Інші</w:t>
            </w:r>
            <w:proofErr w:type="spellEnd"/>
            <w:r w:rsidRPr="00E32284">
              <w:rPr>
                <w:rFonts w:asciiTheme="majorBidi" w:hAnsiTheme="majorBidi" w:cstheme="majorBidi"/>
                <w:sz w:val="28"/>
                <w:szCs w:val="28"/>
              </w:rPr>
              <w:t xml:space="preserve"> заходи у </w:t>
            </w:r>
            <w:proofErr w:type="spellStart"/>
            <w:r w:rsidRPr="00E32284">
              <w:rPr>
                <w:rFonts w:asciiTheme="majorBidi" w:hAnsiTheme="majorBidi" w:cstheme="majorBidi"/>
                <w:sz w:val="28"/>
                <w:szCs w:val="28"/>
              </w:rPr>
              <w:t>сфері</w:t>
            </w:r>
            <w:proofErr w:type="spellEnd"/>
            <w:r w:rsidRPr="00E3228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32284">
              <w:rPr>
                <w:rFonts w:asciiTheme="majorBidi" w:hAnsiTheme="majorBidi" w:cstheme="majorBidi"/>
                <w:sz w:val="28"/>
                <w:szCs w:val="28"/>
              </w:rPr>
              <w:t>охорони</w:t>
            </w:r>
            <w:proofErr w:type="spellEnd"/>
            <w:r w:rsidRPr="00E32284">
              <w:rPr>
                <w:rFonts w:asciiTheme="majorBidi" w:hAnsiTheme="majorBidi" w:cstheme="majorBidi"/>
                <w:sz w:val="28"/>
                <w:szCs w:val="28"/>
              </w:rPr>
              <w:t xml:space="preserve"> здоров' я</w:t>
            </w:r>
          </w:p>
        </w:tc>
        <w:tc>
          <w:tcPr>
            <w:tcW w:w="3969" w:type="dxa"/>
            <w:vAlign w:val="center"/>
          </w:tcPr>
          <w:p w14:paraId="0F9BCF01" w14:textId="0C9F6FCF" w:rsidR="00DE0B8C" w:rsidRPr="00E32284" w:rsidRDefault="00251BC4" w:rsidP="00014D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2</w:t>
            </w:r>
            <w:r w:rsidR="003347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49</w:t>
            </w:r>
            <w:r w:rsidR="00DE0B8C" w:rsidRPr="00E32284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r w:rsidR="003347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2</w:t>
            </w:r>
            <w:r w:rsidR="00DE0B8C" w:rsidRPr="00E32284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</w:tr>
      <w:tr w:rsidR="00AD514E" w14:paraId="72ADB4D4" w14:textId="77777777" w:rsidTr="00C71018">
        <w:trPr>
          <w:trHeight w:val="833"/>
          <w:jc w:val="center"/>
        </w:trPr>
        <w:tc>
          <w:tcPr>
            <w:tcW w:w="5665" w:type="dxa"/>
            <w:gridSpan w:val="2"/>
            <w:vAlign w:val="center"/>
          </w:tcPr>
          <w:p w14:paraId="42316889" w14:textId="08B77C37" w:rsidR="00AD514E" w:rsidRDefault="00AD514E" w:rsidP="00DE0B8C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Всього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  <w:tc>
          <w:tcPr>
            <w:tcW w:w="3969" w:type="dxa"/>
            <w:vAlign w:val="center"/>
          </w:tcPr>
          <w:p w14:paraId="7C841886" w14:textId="7842A718" w:rsidR="00AD514E" w:rsidRPr="003347A4" w:rsidRDefault="00EC45C4" w:rsidP="00DE0B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731, 00</w:t>
            </w:r>
          </w:p>
        </w:tc>
      </w:tr>
    </w:tbl>
    <w:p w14:paraId="5B3BBB23" w14:textId="1319500E" w:rsidR="007033C4" w:rsidRPr="00DE0B8C" w:rsidRDefault="007033C4" w:rsidP="00DE0B8C">
      <w:pPr>
        <w:pStyle w:val="a5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14:paraId="5F596E58" w14:textId="3718F6F6" w:rsidR="007033C4" w:rsidRPr="00E6517B" w:rsidRDefault="008E5A8C" w:rsidP="00E6517B">
      <w:pPr>
        <w:pStyle w:val="a3"/>
        <w:numPr>
          <w:ilvl w:val="0"/>
          <w:numId w:val="1"/>
        </w:numPr>
        <w:shd w:val="clear" w:color="auto" w:fill="FFFEF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покласти</w:t>
      </w:r>
      <w:proofErr w:type="spellEnd"/>
      <w:r>
        <w:rPr>
          <w:color w:val="000000"/>
          <w:sz w:val="28"/>
          <w:szCs w:val="28"/>
        </w:rPr>
        <w:t xml:space="preserve"> на </w:t>
      </w:r>
      <w:r w:rsidRPr="00E21E3C">
        <w:rPr>
          <w:sz w:val="28"/>
          <w:szCs w:val="28"/>
          <w:lang w:val="uk-UA"/>
        </w:rPr>
        <w:t>комісі</w:t>
      </w:r>
      <w:r>
        <w:rPr>
          <w:sz w:val="28"/>
          <w:szCs w:val="28"/>
          <w:lang w:val="uk-UA"/>
        </w:rPr>
        <w:t>ю</w:t>
      </w:r>
      <w:r w:rsidRPr="00E21E3C">
        <w:rPr>
          <w:sz w:val="28"/>
          <w:szCs w:val="28"/>
          <w:lang w:val="uk-UA"/>
        </w:rPr>
        <w:t xml:space="preserve"> з питань бюджету, фінансів та соціально-економічного розвитку громади</w:t>
      </w:r>
      <w:r>
        <w:rPr>
          <w:color w:val="000000"/>
          <w:sz w:val="28"/>
          <w:szCs w:val="28"/>
        </w:rPr>
        <w:t>.</w:t>
      </w:r>
    </w:p>
    <w:p w14:paraId="565254B9" w14:textId="77777777" w:rsidR="00E6517B" w:rsidRDefault="00E6517B" w:rsidP="00E6517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3A104A3E" w14:textId="23859282" w:rsidR="00BD56F2" w:rsidRPr="00091D2D" w:rsidRDefault="007033C4" w:rsidP="00E6517B">
      <w:pPr>
        <w:spacing w:after="0"/>
        <w:rPr>
          <w:sz w:val="28"/>
          <w:szCs w:val="28"/>
          <w:lang w:val="uk-UA"/>
        </w:rPr>
      </w:pPr>
      <w:r w:rsidRPr="00091D2D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Сільський голова                                                                       Тетяна ГОНЧАР</w:t>
      </w:r>
      <w:r w:rsidR="008E5A8C" w:rsidRPr="00091D2D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УК</w:t>
      </w:r>
      <w:r w:rsidRPr="00091D2D">
        <w:rPr>
          <w:rStyle w:val="a6"/>
          <w:bCs w:val="0"/>
          <w:iCs/>
          <w:color w:val="FF0000"/>
          <w:sz w:val="28"/>
          <w:szCs w:val="28"/>
          <w:bdr w:val="none" w:sz="0" w:space="0" w:color="auto" w:frame="1"/>
        </w:rPr>
        <w:t xml:space="preserve"> </w:t>
      </w:r>
      <w:r w:rsidRPr="00091D2D">
        <w:t xml:space="preserve">                                                                 </w:t>
      </w:r>
    </w:p>
    <w:sectPr w:rsidR="00BD56F2" w:rsidRPr="00091D2D" w:rsidSect="000B30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B06D3"/>
    <w:multiLevelType w:val="hybridMultilevel"/>
    <w:tmpl w:val="EA1E0CBE"/>
    <w:lvl w:ilvl="0" w:tplc="58AE9362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947630"/>
    <w:multiLevelType w:val="hybridMultilevel"/>
    <w:tmpl w:val="09DEEF34"/>
    <w:lvl w:ilvl="0" w:tplc="A7FE4A5C">
      <w:start w:val="4"/>
      <w:numFmt w:val="bullet"/>
      <w:lvlText w:val="-"/>
      <w:lvlJc w:val="left"/>
      <w:pPr>
        <w:ind w:left="174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1C65F0"/>
    <w:multiLevelType w:val="hybridMultilevel"/>
    <w:tmpl w:val="AC2A6E68"/>
    <w:lvl w:ilvl="0" w:tplc="2B48F012">
      <w:start w:val="2"/>
      <w:numFmt w:val="bullet"/>
      <w:lvlText w:val="-"/>
      <w:lvlJc w:val="left"/>
      <w:pPr>
        <w:ind w:left="156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B95447"/>
    <w:multiLevelType w:val="hybridMultilevel"/>
    <w:tmpl w:val="D8ACDEC4"/>
    <w:lvl w:ilvl="0" w:tplc="01E2A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AC2496"/>
    <w:multiLevelType w:val="hybridMultilevel"/>
    <w:tmpl w:val="27A67DDA"/>
    <w:lvl w:ilvl="0" w:tplc="DC6E1190">
      <w:numFmt w:val="bullet"/>
      <w:lvlText w:val="-"/>
      <w:lvlJc w:val="left"/>
      <w:pPr>
        <w:ind w:left="1635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6C1C3A"/>
    <w:multiLevelType w:val="hybridMultilevel"/>
    <w:tmpl w:val="32902840"/>
    <w:lvl w:ilvl="0" w:tplc="86920AAE">
      <w:start w:val="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9A6A90"/>
    <w:multiLevelType w:val="hybridMultilevel"/>
    <w:tmpl w:val="24C036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81"/>
    <w:rsid w:val="00025027"/>
    <w:rsid w:val="00091D2D"/>
    <w:rsid w:val="000B30F8"/>
    <w:rsid w:val="000B5F77"/>
    <w:rsid w:val="001D5DEF"/>
    <w:rsid w:val="0020478D"/>
    <w:rsid w:val="00251BC4"/>
    <w:rsid w:val="002D3F9E"/>
    <w:rsid w:val="003347A4"/>
    <w:rsid w:val="00536D49"/>
    <w:rsid w:val="00554E81"/>
    <w:rsid w:val="00623C42"/>
    <w:rsid w:val="006306CD"/>
    <w:rsid w:val="006E5183"/>
    <w:rsid w:val="007033C4"/>
    <w:rsid w:val="008878E9"/>
    <w:rsid w:val="00891D2C"/>
    <w:rsid w:val="008E5A8C"/>
    <w:rsid w:val="00922F43"/>
    <w:rsid w:val="00AD514E"/>
    <w:rsid w:val="00B53314"/>
    <w:rsid w:val="00B539C6"/>
    <w:rsid w:val="00B874B1"/>
    <w:rsid w:val="00BD56F2"/>
    <w:rsid w:val="00BF2CDC"/>
    <w:rsid w:val="00C04FCF"/>
    <w:rsid w:val="00DE0B8C"/>
    <w:rsid w:val="00E4068B"/>
    <w:rsid w:val="00E6517B"/>
    <w:rsid w:val="00EC45C4"/>
    <w:rsid w:val="00FC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9FE4"/>
  <w15:docId w15:val="{5264C7B8-DBE5-499C-83F8-CBEFC2FF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53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4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uiPriority w:val="99"/>
    <w:semiHidden/>
    <w:unhideWhenUsed/>
    <w:qFormat/>
    <w:rsid w:val="00554E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554E81"/>
    <w:pPr>
      <w:ind w:left="720"/>
      <w:contextualSpacing/>
    </w:pPr>
  </w:style>
  <w:style w:type="character" w:styleId="a6">
    <w:name w:val="Strong"/>
    <w:basedOn w:val="a0"/>
    <w:uiPriority w:val="22"/>
    <w:qFormat/>
    <w:rsid w:val="00554E8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5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4E8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E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4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Admin</cp:lastModifiedBy>
  <cp:revision>5</cp:revision>
  <cp:lastPrinted>2021-06-03T14:26:00Z</cp:lastPrinted>
  <dcterms:created xsi:type="dcterms:W3CDTF">2021-06-03T14:35:00Z</dcterms:created>
  <dcterms:modified xsi:type="dcterms:W3CDTF">2021-06-04T07:29:00Z</dcterms:modified>
</cp:coreProperties>
</file>