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D0E8" w14:textId="77777777" w:rsidR="009564DA" w:rsidRPr="00955528" w:rsidRDefault="009564DA" w:rsidP="009564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F0579D7" wp14:editId="601FF8EE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3EAD" w14:textId="77777777" w:rsidR="009564DA" w:rsidRPr="00955528" w:rsidRDefault="009564DA" w:rsidP="009564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5009705A" w14:textId="77777777" w:rsidR="009564DA" w:rsidRPr="00955528" w:rsidRDefault="009564DA" w:rsidP="009564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95552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   сільська   рада</w:t>
      </w:r>
    </w:p>
    <w:p w14:paraId="15281021" w14:textId="77777777" w:rsidR="009564DA" w:rsidRPr="00955528" w:rsidRDefault="009564DA" w:rsidP="009564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району </w:t>
      </w: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Рівненської</w:t>
      </w:r>
      <w:r w:rsidRPr="009555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955528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3CFF76E3" w14:textId="77777777" w:rsidR="009564DA" w:rsidRPr="00955528" w:rsidRDefault="009564DA" w:rsidP="0095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55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четверта чергова сесія восьмого </w:t>
      </w:r>
      <w:r w:rsidRPr="0095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2F80C572" w14:textId="77777777" w:rsidR="009564DA" w:rsidRPr="00955528" w:rsidRDefault="009564DA" w:rsidP="009564DA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955528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7A237E3A" w14:textId="77777777" w:rsidR="009564DA" w:rsidRPr="00955528" w:rsidRDefault="009564DA" w:rsidP="009564D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3EAE72C7" w14:textId="77777777" w:rsidR="009564DA" w:rsidRPr="00955528" w:rsidRDefault="009564DA" w:rsidP="009564D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5D9AEF44" w14:textId="7843CDDD" w:rsidR="009564DA" w:rsidRPr="00955528" w:rsidRDefault="00FF4924" w:rsidP="0095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924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04 березня 2021 року                                                                                      № 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91</w:t>
      </w:r>
    </w:p>
    <w:p w14:paraId="3DE73667" w14:textId="77777777" w:rsidR="00FF4924" w:rsidRDefault="00FF4924" w:rsidP="009564D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D9DDB2" w14:textId="2A87B5E8" w:rsidR="009564DA" w:rsidRPr="00665415" w:rsidRDefault="009564DA" w:rsidP="009564D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</w:t>
      </w:r>
      <w:r w:rsidR="003B5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B5E9F" w:rsidRPr="003B5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затвердження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 w:rsidR="003B5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B5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«П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ідтримки молоді Білокриницької територіальної громади</w:t>
      </w:r>
      <w:r w:rsidR="003B5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2021-2023 роки</w:t>
      </w:r>
    </w:p>
    <w:p w14:paraId="101AAEEA" w14:textId="77777777" w:rsidR="009564DA" w:rsidRPr="00955528" w:rsidRDefault="009564DA" w:rsidP="009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B4F1CA" w14:textId="6A1EDBCA" w:rsidR="009564DA" w:rsidRPr="00955528" w:rsidRDefault="009564DA" w:rsidP="009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5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сприятливих умов для розвитку і самореалізації молоді, підтримки активності молоді, формування її громадянської позиції та національно-патріотичної свідомості, забезпечення системної та комплексної політики щодо підтримки сім’ї та протидії домашньому насильству на території  громади,</w:t>
      </w: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 22 статті 26 Закону України  “Про місцеве самоврядування в Україні“, за погодженням з постійними комісіями</w:t>
      </w:r>
      <w:r w:rsidR="00FF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</w:t>
      </w:r>
    </w:p>
    <w:p w14:paraId="3AACC7B9" w14:textId="77777777" w:rsidR="009564DA" w:rsidRPr="00955528" w:rsidRDefault="009564DA" w:rsidP="0095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76C8EB" w14:textId="77777777" w:rsidR="009564DA" w:rsidRPr="00955528" w:rsidRDefault="009564DA" w:rsidP="009564DA">
      <w:pPr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1506A881" w14:textId="77777777" w:rsidR="009564DA" w:rsidRPr="00955528" w:rsidRDefault="009564DA" w:rsidP="0095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7B1B21" w14:textId="48E365D7" w:rsidR="009564DA" w:rsidRDefault="009564DA" w:rsidP="009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Pr="00665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ідтримки молоді Білокриницької територіальної громади</w:t>
      </w:r>
      <w:r w:rsidR="003B5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65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2021-2023 роки</w:t>
      </w: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додається.</w:t>
      </w:r>
    </w:p>
    <w:p w14:paraId="7CCC98A7" w14:textId="77777777" w:rsidR="009564DA" w:rsidRPr="00955528" w:rsidRDefault="009564DA" w:rsidP="0095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092C70" w14:textId="77777777" w:rsidR="009564DA" w:rsidRPr="00955528" w:rsidRDefault="009564DA" w:rsidP="00956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 Контроль за виконанням рішення покласти на постійну комісію з </w:t>
      </w:r>
      <w:r w:rsidRPr="00955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громади.</w:t>
      </w:r>
    </w:p>
    <w:p w14:paraId="0AFAA294" w14:textId="77777777" w:rsidR="009564DA" w:rsidRPr="00955528" w:rsidRDefault="009564DA" w:rsidP="00956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3BABBB" w14:textId="77777777" w:rsidR="009564DA" w:rsidRPr="00955528" w:rsidRDefault="009564DA" w:rsidP="00956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3805F8" w14:textId="77777777" w:rsidR="009564DA" w:rsidRPr="00955528" w:rsidRDefault="009564DA" w:rsidP="00956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45F3B86A" w14:textId="0849B731" w:rsidR="009564DA" w:rsidRDefault="009564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F395154" w14:textId="77777777" w:rsidR="009564DA" w:rsidRDefault="009564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br w:type="page"/>
      </w:r>
    </w:p>
    <w:p w14:paraId="41DC9F57" w14:textId="459DBBC5" w:rsidR="00955528" w:rsidRPr="00955528" w:rsidRDefault="00955528" w:rsidP="00955528">
      <w:pPr>
        <w:spacing w:after="0" w:line="240" w:lineRule="auto"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lastRenderedPageBreak/>
        <w:t>Додаток</w:t>
      </w:r>
    </w:p>
    <w:p w14:paraId="47D99356" w14:textId="77777777" w:rsidR="00955528" w:rsidRPr="00955528" w:rsidRDefault="00955528" w:rsidP="0095552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ЗАТВЕРДЖЕНО</w:t>
      </w:r>
    </w:p>
    <w:p w14:paraId="00F63611" w14:textId="77777777" w:rsidR="00955528" w:rsidRPr="00955528" w:rsidRDefault="00955528" w:rsidP="0095552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Рішенням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сесії Білокриницької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сільської ради</w:t>
      </w:r>
    </w:p>
    <w:p w14:paraId="0084EC44" w14:textId="3E867492" w:rsidR="00955528" w:rsidRPr="003B5E9F" w:rsidRDefault="00955528" w:rsidP="00955528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</w:t>
      </w:r>
      <w:r w:rsidR="00FF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04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»</w:t>
      </w:r>
      <w:r w:rsidR="00FF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березня 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2021 року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№</w:t>
      </w:r>
      <w:r w:rsidR="00FF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91</w:t>
      </w:r>
    </w:p>
    <w:p w14:paraId="0991BF42" w14:textId="77777777" w:rsidR="00431425" w:rsidRPr="00B854A9" w:rsidRDefault="00431425" w:rsidP="0095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6942C" w14:textId="77777777" w:rsidR="00955528" w:rsidRDefault="00431425" w:rsidP="0095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64900481"/>
      <w:r w:rsidRPr="0095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14:paraId="5AA5E3F6" w14:textId="209C41D3" w:rsidR="00955528" w:rsidRDefault="003B5E9F" w:rsidP="0095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1" w:name="_GoBack"/>
      <w:bookmarkEnd w:id="1"/>
      <w:r w:rsidR="00431425" w:rsidRPr="00955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ідтримки молоді Білокриницької територіальної громади </w:t>
      </w:r>
    </w:p>
    <w:p w14:paraId="3762F55C" w14:textId="2F6F448F" w:rsidR="00431425" w:rsidRPr="00955528" w:rsidRDefault="00431425" w:rsidP="0095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528">
        <w:rPr>
          <w:rFonts w:ascii="Times New Roman" w:hAnsi="Times New Roman" w:cs="Times New Roman"/>
          <w:b/>
          <w:sz w:val="28"/>
          <w:szCs w:val="28"/>
          <w:lang w:val="uk-UA"/>
        </w:rPr>
        <w:t>на 2021-2023 роки</w:t>
      </w:r>
    </w:p>
    <w:bookmarkEnd w:id="0"/>
    <w:p w14:paraId="4E9CA244" w14:textId="77777777" w:rsidR="00955528" w:rsidRDefault="00955528" w:rsidP="0095552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</w:p>
    <w:p w14:paraId="2CEC13E0" w14:textId="77777777" w:rsidR="009564DA" w:rsidRPr="00E33CCE" w:rsidRDefault="009564DA" w:rsidP="00AC0B99">
      <w:pPr>
        <w:spacing w:line="276" w:lineRule="auto"/>
        <w:ind w:left="7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E33C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І. Аналіз нормативно-правової бази</w:t>
      </w:r>
    </w:p>
    <w:p w14:paraId="77C339DC" w14:textId="77777777" w:rsidR="009564DA" w:rsidRPr="00E33CCE" w:rsidRDefault="009564DA" w:rsidP="00AC0B99">
      <w:pPr>
        <w:spacing w:line="276" w:lineRule="auto"/>
        <w:ind w:right="56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33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Нормативно-правову основу розробки Програми складають Закони України «Про місцеві державні адміністрації», законом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33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05 лютого 1993 року №2998 «Про сприяння соціальному становленню та розвитку молоді в Україні», указам Президента України від 28 березня 2008року № 279/2008 «Про заходи щодо сприяння розвитку пластового (скаутського) руху в Україні», з метою реалізації в Рівненській області молодіжної політики», та розпорядженням голови обласної державної адміністрації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E33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 грудня 2020 року № 776 «Про Обласну програму підтримки молоді на 2021-2023 роки».</w:t>
      </w:r>
    </w:p>
    <w:p w14:paraId="178FA3B0" w14:textId="77777777" w:rsidR="009564DA" w:rsidRPr="00B31D44" w:rsidRDefault="009564DA" w:rsidP="00AC0B99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746AA" w14:textId="77777777" w:rsidR="009564DA" w:rsidRPr="00E33CCE" w:rsidRDefault="009564DA" w:rsidP="00AC0B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CE">
        <w:rPr>
          <w:rFonts w:ascii="Times New Roman" w:hAnsi="Times New Roman" w:cs="Times New Roman"/>
          <w:b/>
          <w:sz w:val="28"/>
          <w:szCs w:val="28"/>
        </w:rPr>
        <w:t>ІІ. Загальні положення</w:t>
      </w:r>
    </w:p>
    <w:p w14:paraId="6CAEDCA5" w14:textId="77777777" w:rsidR="009564DA" w:rsidRPr="00E33CCE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 Від здатності молоді бути активною творчою силою значною мірою залежить процес державотворення. Отже, існує потреба у впровадженні більш прагматичної та обґрунтованої політики у молодіжній сфері, що означає підготовку молоді як суспільно активних громадян, здатних до життя у самоорганізованій громаді та суспільстві.</w:t>
      </w:r>
    </w:p>
    <w:p w14:paraId="0B538D92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Для розв’язання зазначених проблем необхідно провести системний аналіз можливостей та потреб молоді.</w:t>
      </w:r>
    </w:p>
    <w:p w14:paraId="1F6AD59C" w14:textId="77777777" w:rsidR="009564DA" w:rsidRPr="00E33CCE" w:rsidRDefault="009564DA" w:rsidP="00AC0B99">
      <w:pPr>
        <w:pStyle w:val="a3"/>
        <w:widowControl/>
        <w:spacing w:after="16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Вищезазначене обумовлює необхідність прийняття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 підтримки молоді Білокриницької територіальної громади</w:t>
      </w: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2021-2023 роки.</w:t>
      </w:r>
    </w:p>
    <w:p w14:paraId="609184A8" w14:textId="77777777" w:rsidR="009564DA" w:rsidRPr="00E33CCE" w:rsidRDefault="009564DA" w:rsidP="00AC0B99">
      <w:pPr>
        <w:pStyle w:val="a3"/>
        <w:widowControl/>
        <w:shd w:val="clear" w:color="auto" w:fill="FFFFFF"/>
        <w:spacing w:after="16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uk-UA"/>
        </w:rPr>
        <w:t>Програмою передбачається здійснення комплексу заходів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(Додаток до Програми ), </w:t>
      </w: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щодо підтримки молоді та забезпечення ефективної молодіжної політики в умовах децентралізації має базуватися на належному кадровому, фінансовому забезпеченню, розвитку молодіжної інфраструктури та залученню молоді до процесу розроблення й ухвалення рішень і контролю за їх виконанням. Виходячи з того, що одним з основних завдань процесу децентралізації є формування комфортного середовища для мешканців громади, основні напрями реалізації молодіжної політики на рівні громади є: </w:t>
      </w:r>
    </w:p>
    <w:p w14:paraId="499B09B5" w14:textId="77777777" w:rsidR="009564DA" w:rsidRPr="00E33CCE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 Кадрове забезпечення (навчання фахівців і молодіжних працівників), </w:t>
      </w:r>
    </w:p>
    <w:p w14:paraId="5BD03513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 Належне фінансування молодіжної роботи;</w:t>
      </w:r>
    </w:p>
    <w:p w14:paraId="5D910F50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молодіжної інфраструктури;</w:t>
      </w:r>
    </w:p>
    <w:p w14:paraId="2105621B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молоді до процесу розроблення, ухвалення рішень та контролю за їх виконанням.</w:t>
      </w:r>
    </w:p>
    <w:p w14:paraId="66916AD1" w14:textId="77777777" w:rsidR="009564DA" w:rsidRPr="00E33CCE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uk-UA"/>
        </w:rPr>
        <w:t xml:space="preserve">Важливим аспектом у процесі запровадження моделі молодіжної політики на рівні громади є створення дієвої системи збору, обробки інформації й реагування на запити молодих хлопців та дівчат, місцеві молодіжні ініціативи. </w:t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Молоді люди є носієм потенціалу, мають права і відіграють активну роль в розвитку громади. Аналізуючи результати вивчення потреб молоді можна зробити висновок, що загальнолюдські цінності і проблеми дуже близькі сучасній молоді, молоді хлопці та дівчата вважають їх актуальними і намагаються знайти шляхи їх вирішення. Переважна більшість проблем молоді — це складові загальних потреб сучасного суспільства. Державою проблеми молоді досліджуються у трьох аспектах: </w:t>
      </w:r>
    </w:p>
    <w:p w14:paraId="73BBB8ED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 Що молодь може дати суспільству для його розвитку; </w:t>
      </w:r>
    </w:p>
    <w:p w14:paraId="03B2569C" w14:textId="77777777" w:rsidR="009564DA" w:rsidRPr="00E33CCE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 Що суспільство може дати для молоді для її розвитку і соціального становлення; </w:t>
      </w:r>
    </w:p>
    <w:p w14:paraId="6BB1518C" w14:textId="77777777" w:rsidR="009564DA" w:rsidRPr="00E33CCE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CCE">
        <w:rPr>
          <w:rFonts w:ascii="Times New Roman" w:hAnsi="Times New Roman" w:cs="Times New Roman"/>
          <w:sz w:val="28"/>
          <w:szCs w:val="28"/>
        </w:rPr>
        <w:sym w:font="Symbol" w:char="F0B7"/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 Власний потенціал молоді в інтересах її самореалізації і розвитку суспільства. </w:t>
      </w:r>
    </w:p>
    <w:p w14:paraId="0C924E84" w14:textId="77777777" w:rsidR="009564DA" w:rsidRPr="00E33CCE" w:rsidRDefault="009564DA" w:rsidP="00AC0B99">
      <w:pPr>
        <w:pStyle w:val="a3"/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Молодіжна робота в громаді повинна враховувати інтереси та потреби молоді й, насамперед, формувати не споживацькі настрої в молодіжному середовищі, а активну громадянську позицію молоді та задіяти усі потенційні ресурси. </w:t>
      </w:r>
    </w:p>
    <w:p w14:paraId="63DACBBC" w14:textId="77777777" w:rsidR="009564DA" w:rsidRPr="00E33CCE" w:rsidRDefault="009564DA" w:rsidP="00AC0B99">
      <w:pPr>
        <w:pStyle w:val="a3"/>
        <w:shd w:val="clear" w:color="auto" w:fill="FFFFFF"/>
        <w:ind w:left="432"/>
        <w:rPr>
          <w:rFonts w:ascii="Times New Roman" w:hAnsi="Times New Roman" w:cs="Times New Roman"/>
          <w:sz w:val="28"/>
          <w:szCs w:val="28"/>
          <w:lang w:val="ru-RU"/>
        </w:rPr>
      </w:pPr>
    </w:p>
    <w:p w14:paraId="5BC6C476" w14:textId="77777777" w:rsidR="009564DA" w:rsidRPr="00872119" w:rsidRDefault="009564DA" w:rsidP="00A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1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ІІІ. </w:t>
      </w:r>
      <w:r w:rsidRPr="008721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МЕТА ПРОГРАМИ</w:t>
      </w:r>
    </w:p>
    <w:p w14:paraId="736BC28C" w14:textId="77777777" w:rsidR="009564DA" w:rsidRDefault="009564DA" w:rsidP="00AC0B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Метою Програми є 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гарантій.</w:t>
      </w:r>
    </w:p>
    <w:p w14:paraId="08137358" w14:textId="77777777" w:rsidR="009564DA" w:rsidRPr="001A2B8F" w:rsidRDefault="009564DA" w:rsidP="00AC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9B75" w14:textId="77777777" w:rsidR="009564DA" w:rsidRPr="00CC6265" w:rsidRDefault="009564DA" w:rsidP="00AC0B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A2B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Основними пріори</w:t>
      </w:r>
      <w:r w:rsidRPr="00E112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тетами </w:t>
      </w:r>
      <w:r w:rsidRPr="001A2B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сфері підтримки молоді є:</w:t>
      </w:r>
    </w:p>
    <w:p w14:paraId="4924C2F3" w14:textId="77777777" w:rsidR="009564DA" w:rsidRPr="008B1B9D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громадянськість і патріотизм;</w:t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57D067" w14:textId="77777777" w:rsidR="009564DA" w:rsidRPr="008B1B9D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активної громадянської позиції – здійснення заходів з підвищення рівня правової обізнаності, утвердження громадянської свідомості молоді, заходи на підтримку доступу молодих чоловіків і жінок до відповідальних посад у професійному житті, асоціаціях, політиці і місцевих органах влади; </w:t>
      </w:r>
    </w:p>
    <w:p w14:paraId="1DE2B704" w14:textId="77777777" w:rsidR="009564DA" w:rsidRPr="00E33CCE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>популяризація волонтерського руху як форми залучення молоді до суспільно значущої діяльності та способу неформальної освіти і вторинної зайнятості;</w:t>
      </w:r>
    </w:p>
    <w:p w14:paraId="1D93E5C1" w14:textId="77777777" w:rsidR="009564DA" w:rsidRPr="00E33CCE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>формування здорового способу життя молоді – шляхом здійснення заходів, спрямованих на популяризацію та утвердження здорового і безпечного способу життя та культури здоров’я серед молоді;</w:t>
      </w:r>
    </w:p>
    <w:p w14:paraId="4DE1D3A9" w14:textId="77777777" w:rsidR="009564DA" w:rsidRPr="00E33CCE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>розвиток неформальної освіти – шляхом здійснення заходів, спрямованих на набуття молодими людьми знань, навичок, що сприятимуть соціальній та професійній компетенції молоді, формуванню мотивації до навчання впродовж життя;</w:t>
      </w:r>
    </w:p>
    <w:p w14:paraId="6B81DD39" w14:textId="77777777" w:rsidR="009564DA" w:rsidRPr="00E33CCE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 xml:space="preserve">зайнятість молоді, </w:t>
      </w:r>
      <w:r w:rsidRPr="00E33CCE">
        <w:rPr>
          <w:rFonts w:ascii="Times New Roman" w:hAnsi="Times New Roman" w:cs="Times New Roman"/>
          <w:sz w:val="28"/>
          <w:szCs w:val="28"/>
          <w:lang w:val="ru-RU"/>
        </w:rPr>
        <w:t>інтеграція молоді на ринок праці - шляхом створення умов та здійснення заходів, спрямованих на працевлаштування молоді (забезпечення первинної і вторинної зайнятості та самозайнятості молоді) та подолання стереотипів і бар’єрів, зокрема, гендерних.</w:t>
      </w:r>
    </w:p>
    <w:p w14:paraId="7010C3F2" w14:textId="77777777" w:rsidR="009564DA" w:rsidRPr="00E33CCE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hAnsi="Times New Roman" w:cs="Times New Roman"/>
          <w:sz w:val="28"/>
          <w:szCs w:val="28"/>
          <w:lang w:val="ru-RU"/>
        </w:rPr>
        <w:t>впровадження нових форм організації змістовного дозвілля дівчат та хлопців;</w:t>
      </w:r>
    </w:p>
    <w:p w14:paraId="4E3A1F03" w14:textId="77777777" w:rsidR="009564DA" w:rsidRPr="00872119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3C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партнерська підтримка молоді з числа внутрішньо переміщених осіб.</w:t>
      </w:r>
    </w:p>
    <w:p w14:paraId="26C498EC" w14:textId="77777777" w:rsidR="009564DA" w:rsidRDefault="009564DA" w:rsidP="00AC0B99">
      <w:pPr>
        <w:pStyle w:val="a3"/>
        <w:shd w:val="clear" w:color="auto" w:fill="FFFFFF"/>
        <w:ind w:hanging="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2B5F9D" w14:textId="77777777" w:rsidR="009564DA" w:rsidRPr="00E33CCE" w:rsidRDefault="009564DA" w:rsidP="00AC0B99">
      <w:pPr>
        <w:pStyle w:val="a3"/>
        <w:shd w:val="clear" w:color="auto" w:fill="FFFFFF"/>
        <w:ind w:hang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FFE79F" w14:textId="77777777" w:rsidR="009564DA" w:rsidRDefault="009564DA" w:rsidP="00AC0B99">
      <w:pPr>
        <w:pStyle w:val="a3"/>
        <w:shd w:val="clear" w:color="auto" w:fill="FFFFFF"/>
        <w:ind w:left="426" w:hang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 Очікувані результати, ефективність програми</w:t>
      </w:r>
    </w:p>
    <w:p w14:paraId="7D659394" w14:textId="77777777" w:rsidR="009564DA" w:rsidRPr="008041C1" w:rsidRDefault="009564DA" w:rsidP="00AC0B99">
      <w:pPr>
        <w:pStyle w:val="a3"/>
        <w:shd w:val="clear" w:color="auto" w:fill="FFFFFF"/>
        <w:ind w:left="426" w:hanging="1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ru-RU" w:eastAsia="ru-RU"/>
        </w:rPr>
      </w:pPr>
      <w:r w:rsidRPr="008041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Виконання Програми забезпечить:</w:t>
      </w:r>
    </w:p>
    <w:p w14:paraId="3CDB8648" w14:textId="77777777" w:rsidR="009564DA" w:rsidRPr="00872119" w:rsidRDefault="009564DA" w:rsidP="009564DA">
      <w:pPr>
        <w:pStyle w:val="a3"/>
        <w:numPr>
          <w:ilvl w:val="0"/>
          <w:numId w:val="2"/>
        </w:numPr>
        <w:shd w:val="clear" w:color="auto" w:fill="FFFFFF"/>
        <w:spacing w:before="225" w:after="225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uk-UA" w:eastAsia="ru-RU"/>
        </w:rPr>
        <w:t>П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іднесення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громадянської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свідомості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та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патріотизму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молоді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України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шляхом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налагодження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системної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освітньої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,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виховної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,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інформаційної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роботи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,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організації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в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регіонах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країни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військово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-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спортивних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молодіжних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осередків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,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дитячих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та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молодіжних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рухів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,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діяльності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молодіжних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працівників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та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волонтерів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;</w:t>
      </w:r>
    </w:p>
    <w:p w14:paraId="4CBB5930" w14:textId="77777777" w:rsidR="009564DA" w:rsidRPr="00B31D44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підвищення рівня самоорганізації і самоврядування молодіжних спільнот внаслідок формування інституцій та осередків громадянського суспільства: волонтерства, структур молодіжних працівників, багатофункціональних молодіжних центрів.;</w:t>
      </w:r>
    </w:p>
    <w:p w14:paraId="4A5968E5" w14:textId="77777777" w:rsidR="009564DA" w:rsidRPr="008041C1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8041C1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широке залучення дітей та молоді до здорового і безпечного способу життя;</w:t>
      </w:r>
    </w:p>
    <w:p w14:paraId="6319E697" w14:textId="77777777" w:rsidR="009564DA" w:rsidRPr="00B31D44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формування системи неформальної освіти та залучення до неї молоді;</w:t>
      </w:r>
    </w:p>
    <w:p w14:paraId="73B0210B" w14:textId="77777777" w:rsidR="009564DA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прискорення розвитку молодіжного підприємництва шляхом формування підприємницьких навичок молоді;</w:t>
      </w:r>
      <w:r w:rsidRPr="00872119"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  <w:t xml:space="preserve"> </w:t>
      </w:r>
    </w:p>
    <w:p w14:paraId="46F09C4E" w14:textId="77777777" w:rsidR="009564DA" w:rsidRPr="00B31D44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підвищення рівня самоорганізації і самоврядування молодіжних спільнот внаслідок формування інституцій та осередків громадянського суспільства;</w:t>
      </w:r>
    </w:p>
    <w:p w14:paraId="17A9392D" w14:textId="77777777" w:rsidR="009564DA" w:rsidRPr="00B31D44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зниження рівня правопорушень серед молоді внаслідок активізації правової освіти та залучення молоді до суспільно значущої громадської діяльності;</w:t>
      </w:r>
    </w:p>
    <w:p w14:paraId="520328D8" w14:textId="77777777" w:rsidR="009564DA" w:rsidRPr="00B31D44" w:rsidRDefault="009564DA" w:rsidP="009564DA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інтеграцію української молоді в європейські та світові молодіжні структури.</w:t>
      </w:r>
    </w:p>
    <w:p w14:paraId="5E42DAD5" w14:textId="77777777" w:rsidR="009564DA" w:rsidRPr="00B31D44" w:rsidRDefault="009564DA" w:rsidP="00AC0B99">
      <w:pPr>
        <w:pStyle w:val="a3"/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ru-RU" w:eastAsia="ru-RU"/>
        </w:rPr>
      </w:pP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>У разі необхідності здійснюватиметься перегляд запланованої діяльності, пошук та впровадження більш ефективних способів розв’язання</w:t>
      </w:r>
      <w:r w:rsidRPr="0087211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 </w:t>
      </w:r>
      <w:r w:rsidRPr="00B31D44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ru-RU" w:eastAsia="ru-RU"/>
        </w:rPr>
        <w:t xml:space="preserve"> проблем.</w:t>
      </w:r>
    </w:p>
    <w:p w14:paraId="45D1FA97" w14:textId="77777777" w:rsidR="009564DA" w:rsidRDefault="009564DA" w:rsidP="00AC0B99">
      <w:pPr>
        <w:pStyle w:val="a3"/>
        <w:shd w:val="clear" w:color="auto" w:fill="FFFFFF"/>
        <w:ind w:firstLine="567"/>
        <w:jc w:val="both"/>
        <w:rPr>
          <w:lang w:val="ru-RU"/>
        </w:rPr>
      </w:pPr>
    </w:p>
    <w:p w14:paraId="23874B33" w14:textId="77777777" w:rsidR="009564DA" w:rsidRDefault="009564DA" w:rsidP="00AC0B99">
      <w:pPr>
        <w:pStyle w:val="a3"/>
        <w:shd w:val="clear" w:color="auto" w:fill="FFFFFF"/>
        <w:ind w:left="426" w:hanging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5C9CED" w14:textId="77777777" w:rsidR="009564DA" w:rsidRDefault="009564DA" w:rsidP="00AC0B99">
      <w:pPr>
        <w:pStyle w:val="a3"/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1120E">
        <w:rPr>
          <w:rFonts w:ascii="Times New Roman" w:hAnsi="Times New Roman" w:cs="Times New Roman"/>
          <w:b/>
          <w:sz w:val="28"/>
          <w:szCs w:val="28"/>
          <w:lang w:val="ru-RU"/>
        </w:rPr>
        <w:t>Очікувані результати виконання Програми</w:t>
      </w:r>
    </w:p>
    <w:p w14:paraId="33FCE8D2" w14:textId="77777777" w:rsidR="009564DA" w:rsidRPr="008041C1" w:rsidRDefault="009564DA" w:rsidP="00AC0B99">
      <w:pPr>
        <w:pStyle w:val="a3"/>
        <w:shd w:val="clear" w:color="auto" w:fill="FFFFFF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1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Реалізація даної Програми дозволить: </w:t>
      </w:r>
    </w:p>
    <w:p w14:paraId="087C8706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• запровадити/покращити інноваційні механізми молодіжної участі (бюджет участі, молодіжний банк ініціатив, молодіжні дорадчі органи); </w:t>
      </w:r>
    </w:p>
    <w:p w14:paraId="2C54B6A4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• збільшити кількість молодих хлопців та дівчат, охопленої всіма видами фізкультурнооздоровчих, культурних, правозахисних, просвітницьких та інших заходів; </w:t>
      </w:r>
    </w:p>
    <w:p w14:paraId="48EF73AA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• надавати підтримку молоді у працевлаштуванні та сприяти створенню робочих місць; </w:t>
      </w:r>
    </w:p>
    <w:p w14:paraId="2535228B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• підвищити рівень екологічної свідомості молоді; </w:t>
      </w:r>
    </w:p>
    <w:p w14:paraId="027AE38D" w14:textId="77777777" w:rsidR="009564DA" w:rsidRPr="009A146D" w:rsidRDefault="009564DA" w:rsidP="00AC0B99">
      <w:pPr>
        <w:pStyle w:val="a3"/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• створити умови </w:t>
      </w:r>
      <w:r w:rsidRPr="009A146D">
        <w:rPr>
          <w:rFonts w:ascii="Times New Roman" w:hAnsi="Times New Roman" w:cs="Times New Roman"/>
          <w:sz w:val="28"/>
          <w:szCs w:val="28"/>
          <w:lang w:val="ru-RU"/>
        </w:rPr>
        <w:t>для розвитку творчого потенціалу молоді.</w:t>
      </w:r>
    </w:p>
    <w:p w14:paraId="3F783C6A" w14:textId="77777777" w:rsidR="009564DA" w:rsidRDefault="009564DA" w:rsidP="00AC0B99">
      <w:pPr>
        <w:rPr>
          <w:rFonts w:ascii="Times New Roman" w:hAnsi="Times New Roman" w:cs="Times New Roman"/>
          <w:b/>
          <w:sz w:val="28"/>
          <w:szCs w:val="28"/>
        </w:rPr>
      </w:pPr>
    </w:p>
    <w:p w14:paraId="02B27E17" w14:textId="77777777" w:rsidR="009564DA" w:rsidRDefault="009564DA" w:rsidP="00AC0B99">
      <w:pPr>
        <w:rPr>
          <w:rFonts w:ascii="Times New Roman" w:hAnsi="Times New Roman" w:cs="Times New Roman"/>
          <w:b/>
          <w:sz w:val="28"/>
          <w:szCs w:val="28"/>
        </w:rPr>
      </w:pPr>
    </w:p>
    <w:p w14:paraId="149BD8BA" w14:textId="77777777" w:rsidR="009564DA" w:rsidRDefault="009564DA" w:rsidP="00AC0B99">
      <w:pPr>
        <w:pStyle w:val="a3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31D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120E">
        <w:rPr>
          <w:rFonts w:ascii="Times New Roman" w:hAnsi="Times New Roman" w:cs="Times New Roman"/>
          <w:b/>
          <w:sz w:val="28"/>
          <w:szCs w:val="28"/>
          <w:lang w:val="ru-RU"/>
        </w:rPr>
        <w:t>Фінансове забезпечення</w:t>
      </w:r>
    </w:p>
    <w:p w14:paraId="39D61D08" w14:textId="77777777" w:rsidR="009564DA" w:rsidRPr="00E1120E" w:rsidRDefault="009564DA" w:rsidP="00AC0B99">
      <w:pPr>
        <w:pStyle w:val="a3"/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2494FE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Програми Фінансування Програми здійснюється за рахунок коштів місцевого бюджету, які передбачаються для виконання програм і заходів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підтримки молоді</w:t>
      </w: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, а також за рахунок інших джерел, не заборонених законодавством, враховуючи потреби та інтереси молоді </w:t>
      </w:r>
      <w:r>
        <w:rPr>
          <w:rFonts w:ascii="Times New Roman" w:hAnsi="Times New Roman" w:cs="Times New Roman"/>
          <w:sz w:val="28"/>
          <w:szCs w:val="28"/>
          <w:lang w:val="ru-RU"/>
        </w:rPr>
        <w:t>Білокриницької територіальної громади</w:t>
      </w:r>
      <w:r w:rsidRPr="00E1120E">
        <w:rPr>
          <w:rFonts w:ascii="Times New Roman" w:hAnsi="Times New Roman" w:cs="Times New Roman"/>
          <w:sz w:val="28"/>
          <w:szCs w:val="28"/>
          <w:lang w:val="ru-RU"/>
        </w:rPr>
        <w:t xml:space="preserve">, підприємств та організацій різних форм власності, інвесторів, спонсорів, власні кошти громадян. Обсяги видатків місцевого бюджету на виконання Програми щорічно визначаються у межах кошторисних бюджетних призначень на відповідні роки. </w:t>
      </w:r>
    </w:p>
    <w:p w14:paraId="2474D35B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CFFEF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533E4E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29F8FF" w14:textId="77777777" w:rsidR="009564DA" w:rsidRPr="00665415" w:rsidRDefault="009564DA" w:rsidP="0095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Секретар сільської ради 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Ірина ДАЮК</w:t>
      </w:r>
    </w:p>
    <w:p w14:paraId="3E063DC4" w14:textId="33B1B94C" w:rsidR="009564DA" w:rsidRDefault="0095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1E54ED" w14:textId="77777777" w:rsidR="009564DA" w:rsidRDefault="009564DA" w:rsidP="00AC0B99">
      <w:pPr>
        <w:pStyle w:val="a3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E3C6EA" w14:textId="77777777" w:rsidR="009564DA" w:rsidRPr="00955528" w:rsidRDefault="009564DA" w:rsidP="009564D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Додаток</w:t>
      </w:r>
    </w:p>
    <w:p w14:paraId="2852DCF8" w14:textId="77777777" w:rsidR="009564DA" w:rsidRPr="00955528" w:rsidRDefault="009564DA" w:rsidP="009564D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до Програми підтримки молоді </w:t>
      </w:r>
    </w:p>
    <w:p w14:paraId="0DF3E765" w14:textId="77777777" w:rsidR="009564DA" w:rsidRPr="00955528" w:rsidRDefault="009564DA" w:rsidP="009564D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  <w:t>Білокриницької територіальної громади</w:t>
      </w:r>
      <w:r w:rsidRPr="009555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на 2021-2023 роки</w:t>
      </w:r>
    </w:p>
    <w:p w14:paraId="25C3DE2F" w14:textId="77777777" w:rsidR="009564DA" w:rsidRPr="009564DA" w:rsidRDefault="009564DA" w:rsidP="00A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2F891D" w14:textId="77777777" w:rsidR="009564DA" w:rsidRDefault="009564DA" w:rsidP="00A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8AC07C9" w14:textId="77777777" w:rsidR="009564DA" w:rsidRDefault="009564DA" w:rsidP="00A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31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Заходи </w:t>
      </w:r>
    </w:p>
    <w:p w14:paraId="0AB3733A" w14:textId="77777777" w:rsidR="009564DA" w:rsidRPr="00D317F2" w:rsidRDefault="009564DA" w:rsidP="00A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31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Програми підтримки молоді Білокриницької територіальної громади</w:t>
      </w:r>
    </w:p>
    <w:p w14:paraId="21583D4E" w14:textId="77777777" w:rsidR="009564DA" w:rsidRDefault="009564DA" w:rsidP="00AC0B99"/>
    <w:tbl>
      <w:tblPr>
        <w:tblStyle w:val="a7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984"/>
        <w:gridCol w:w="1560"/>
      </w:tblGrid>
      <w:tr w:rsidR="009564DA" w14:paraId="6EBB110A" w14:textId="77777777" w:rsidTr="009564DA">
        <w:trPr>
          <w:trHeight w:val="345"/>
          <w:jc w:val="center"/>
        </w:trPr>
        <w:tc>
          <w:tcPr>
            <w:tcW w:w="562" w:type="dxa"/>
            <w:vMerge w:val="restart"/>
          </w:tcPr>
          <w:p w14:paraId="5134ACE1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5" w:type="dxa"/>
            <w:vMerge w:val="restart"/>
          </w:tcPr>
          <w:p w14:paraId="6CD921E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0F5B56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D3C9285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Зміст </w:t>
            </w: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vAlign w:val="center"/>
          </w:tcPr>
          <w:p w14:paraId="27CDE65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109576B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84" w:type="dxa"/>
            <w:vMerge w:val="restart"/>
          </w:tcPr>
          <w:p w14:paraId="7E6B5AD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789DCE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EED47AF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60" w:type="dxa"/>
            <w:vMerge w:val="restart"/>
          </w:tcPr>
          <w:p w14:paraId="6FE411D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B8C418A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9564DA" w14:paraId="47F42B59" w14:textId="77777777" w:rsidTr="009564DA">
        <w:trPr>
          <w:trHeight w:val="345"/>
          <w:jc w:val="center"/>
        </w:trPr>
        <w:tc>
          <w:tcPr>
            <w:tcW w:w="562" w:type="dxa"/>
            <w:vMerge/>
          </w:tcPr>
          <w:p w14:paraId="19899888" w14:textId="77777777" w:rsidR="009564DA" w:rsidRPr="00EE682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</w:tcPr>
          <w:p w14:paraId="4EAD627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CA7268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637DE4D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6FC0867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564DA" w14:paraId="2D45A701" w14:textId="77777777" w:rsidTr="009564DA">
        <w:trPr>
          <w:trHeight w:val="345"/>
          <w:jc w:val="center"/>
        </w:trPr>
        <w:tc>
          <w:tcPr>
            <w:tcW w:w="9493" w:type="dxa"/>
            <w:gridSpan w:val="5"/>
            <w:vAlign w:val="center"/>
          </w:tcPr>
          <w:p w14:paraId="7D2FC92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Здоровий та безпечний спосіб життя</w:t>
            </w:r>
          </w:p>
        </w:tc>
      </w:tr>
      <w:tr w:rsidR="009564DA" w14:paraId="1313F4DD" w14:textId="77777777" w:rsidTr="009564DA">
        <w:trPr>
          <w:jc w:val="center"/>
        </w:trPr>
        <w:tc>
          <w:tcPr>
            <w:tcW w:w="562" w:type="dxa"/>
          </w:tcPr>
          <w:p w14:paraId="64249B5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6756FA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14:paraId="414EC8B4" w14:textId="1984DFF5" w:rsidR="009564DA" w:rsidRP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 проведення профілактичних лекцій, бесід, тренінгів щодо пропаганди здорового способу життя для учнів, організовувати зустрічі, круглі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67685E0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BFA85BF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  <w:p w14:paraId="24E999AD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B9388C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CBB1D43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15E7B57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AE96F0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E16954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9283D2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  <w:p w14:paraId="6DD7F3FD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B835E9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5F8EF02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9F5DE84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8665009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8193A30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ADA4A3B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5EB0F2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B702F8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1F98969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D194629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DA5422C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7E8836C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E06C6BD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50307EA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053923E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1E467D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830DE4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BB8AD8E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6E7169A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A5AC8B9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7D30C37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6887DDC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</w:t>
            </w:r>
          </w:p>
        </w:tc>
        <w:tc>
          <w:tcPr>
            <w:tcW w:w="1984" w:type="dxa"/>
            <w:vMerge w:val="restart"/>
          </w:tcPr>
          <w:p w14:paraId="295B89E0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C51697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молоді, спорту, культури та туризму Білокриницької сільської ради.</w:t>
            </w:r>
          </w:p>
          <w:p w14:paraId="1F006BE2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78C73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 та ЗДО</w:t>
            </w:r>
          </w:p>
          <w:p w14:paraId="6413FF54" w14:textId="5A9563ED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74F3E" w14:textId="6F17D6B0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93FDA0" w14:textId="77777777" w:rsidR="009564DA" w:rsidRPr="00562A86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7148D" w14:textId="77777777" w:rsidR="009564DA" w:rsidRDefault="009564DA" w:rsidP="009564DA">
            <w:pPr>
              <w:spacing w:line="360" w:lineRule="auto"/>
              <w:ind w:left="36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«Культурно-дозвіллевого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1C59A9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A88CBA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12B775C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8F02AD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866833C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C56D35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FB9758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E9E601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29A8CE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3DA4C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клубних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DE82EA1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51AE61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9B9B8C" w14:textId="77777777" w:rsidR="009564DA" w:rsidRPr="00981344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AB41AB" w14:textId="77777777" w:rsidR="009564DA" w:rsidRPr="00562A86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бібліотек. </w:t>
            </w:r>
          </w:p>
        </w:tc>
        <w:tc>
          <w:tcPr>
            <w:tcW w:w="1560" w:type="dxa"/>
            <w:vMerge w:val="restart"/>
          </w:tcPr>
          <w:p w14:paraId="0403280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8240F8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A75811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8E64CA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16D7A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55C756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71149A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42BBC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2B42D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AAF579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Передбачені кошти сільського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C02BD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5FF90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E26F4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D3741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9A83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581F1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ADF45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83D45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752D67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B7334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5F60DF" w14:textId="77777777" w:rsidR="009564DA" w:rsidRPr="00C012FF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Позабюджетні кошти та за рахунок інших джерел  не заборонених чинним законодавством</w:t>
            </w:r>
          </w:p>
        </w:tc>
      </w:tr>
      <w:tr w:rsidR="009564DA" w:rsidRPr="003B5E9F" w14:paraId="1AC45461" w14:textId="77777777" w:rsidTr="009564DA">
        <w:trPr>
          <w:jc w:val="center"/>
        </w:trPr>
        <w:tc>
          <w:tcPr>
            <w:tcW w:w="562" w:type="dxa"/>
          </w:tcPr>
          <w:p w14:paraId="7FA573B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47F12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5" w:type="dxa"/>
            <w:vAlign w:val="center"/>
          </w:tcPr>
          <w:p w14:paraId="317392A4" w14:textId="19908C34" w:rsidR="009564DA" w:rsidRP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інформаційно-профілактичні, просвітницькі заходи з формування навичок відповідальної безпечної поведінки та попередження можливих негативних дій відносно здоров'я.</w:t>
            </w:r>
          </w:p>
        </w:tc>
        <w:tc>
          <w:tcPr>
            <w:tcW w:w="992" w:type="dxa"/>
            <w:vMerge/>
            <w:vAlign w:val="center"/>
          </w:tcPr>
          <w:p w14:paraId="39CD641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78576E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762F971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0B6F16AC" w14:textId="77777777" w:rsidTr="009564DA">
        <w:trPr>
          <w:jc w:val="center"/>
        </w:trPr>
        <w:tc>
          <w:tcPr>
            <w:tcW w:w="562" w:type="dxa"/>
          </w:tcPr>
          <w:p w14:paraId="78E5CD0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F668F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4CDC6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5" w:type="dxa"/>
          </w:tcPr>
          <w:p w14:paraId="7A671165" w14:textId="595F6455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виїзні тематичні акції, культурно-мистецькі, інформаційно-просвітницькі заходи, які спрямовані на попередження та профілактику негативних явищ у молодіжному середовищі.</w:t>
            </w:r>
          </w:p>
        </w:tc>
        <w:tc>
          <w:tcPr>
            <w:tcW w:w="992" w:type="dxa"/>
            <w:vMerge/>
            <w:vAlign w:val="center"/>
          </w:tcPr>
          <w:p w14:paraId="5F133F7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077523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7C98C29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14:paraId="5000A25C" w14:textId="77777777" w:rsidTr="009564DA">
        <w:trPr>
          <w:jc w:val="center"/>
        </w:trPr>
        <w:tc>
          <w:tcPr>
            <w:tcW w:w="562" w:type="dxa"/>
          </w:tcPr>
          <w:p w14:paraId="3FC5797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D16775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5" w:type="dxa"/>
          </w:tcPr>
          <w:p w14:paraId="1D7AA0D7" w14:textId="77777777" w:rsidR="009564DA" w:rsidRPr="00B31D44" w:rsidRDefault="009564DA" w:rsidP="009564D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 проводити заходи для молоді, у тому числі для учнівської молоді з питань профілактики туберкульозу, ВІЛ/СНІДу, вживання алкоголю, наркотиків та тютюнопаління.</w:t>
            </w:r>
          </w:p>
        </w:tc>
        <w:tc>
          <w:tcPr>
            <w:tcW w:w="992" w:type="dxa"/>
            <w:vMerge/>
            <w:vAlign w:val="center"/>
          </w:tcPr>
          <w:p w14:paraId="0479077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2200BE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1275E5E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14:paraId="362FC284" w14:textId="77777777" w:rsidTr="009564DA">
        <w:trPr>
          <w:jc w:val="center"/>
        </w:trPr>
        <w:tc>
          <w:tcPr>
            <w:tcW w:w="562" w:type="dxa"/>
          </w:tcPr>
          <w:p w14:paraId="4361710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ABA1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01F14D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  <w:vAlign w:val="center"/>
          </w:tcPr>
          <w:p w14:paraId="35C86640" w14:textId="3B98E89F" w:rsidR="009564DA" w:rsidRPr="001230AD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заходи до Всесвітнього дня боротьби з тютюнопалінням, Всесвітнього дня боротьби зі зловживанням наркотиками й їхнім незаконним обігом та Всесвітнього дня боротьби зі СНІДом.</w:t>
            </w:r>
          </w:p>
        </w:tc>
        <w:tc>
          <w:tcPr>
            <w:tcW w:w="992" w:type="dxa"/>
            <w:vMerge/>
            <w:vAlign w:val="center"/>
          </w:tcPr>
          <w:p w14:paraId="6407864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FB75A9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81C067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14:paraId="6621F521" w14:textId="77777777" w:rsidTr="009564DA">
        <w:trPr>
          <w:jc w:val="center"/>
        </w:trPr>
        <w:tc>
          <w:tcPr>
            <w:tcW w:w="562" w:type="dxa"/>
          </w:tcPr>
          <w:p w14:paraId="614614E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9C9851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5" w:type="dxa"/>
          </w:tcPr>
          <w:p w14:paraId="3F268BE9" w14:textId="7420EA22" w:rsidR="009564DA" w:rsidRPr="001230AD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 громадським організаціям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проведенні заходів з питань 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 негативних явищ, формування здорового способу життя та правової освіти молоді.</w:t>
            </w:r>
          </w:p>
        </w:tc>
        <w:tc>
          <w:tcPr>
            <w:tcW w:w="992" w:type="dxa"/>
            <w:vMerge/>
            <w:vAlign w:val="center"/>
          </w:tcPr>
          <w:p w14:paraId="44D2467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1E6B88B" w14:textId="77777777" w:rsidR="009564DA" w:rsidRPr="0098134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1B42A0D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3F7FBCF7" w14:textId="77777777" w:rsidTr="009564DA">
        <w:trPr>
          <w:jc w:val="center"/>
        </w:trPr>
        <w:tc>
          <w:tcPr>
            <w:tcW w:w="562" w:type="dxa"/>
          </w:tcPr>
          <w:p w14:paraId="3FC5F1B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5F310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95" w:type="dxa"/>
          </w:tcPr>
          <w:p w14:paraId="3675FF81" w14:textId="2DC31A68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Організовувати заходи з популяризації здорового способу життя, змістовного </w:t>
            </w: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активного дозвілля, в т.ч.: туристичні походи, інформаційно-освітні форуми, зустрічі з відомими особистостями, оздоровчі акції, молодіжні форуми, культурно-масові фестивалі, тематичні шоу-програми, інші.</w:t>
            </w:r>
          </w:p>
        </w:tc>
        <w:tc>
          <w:tcPr>
            <w:tcW w:w="992" w:type="dxa"/>
            <w:vMerge/>
            <w:vAlign w:val="center"/>
          </w:tcPr>
          <w:p w14:paraId="67D7BD5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A86DB3D" w14:textId="77777777" w:rsidR="009564DA" w:rsidRPr="00981344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29594F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2B29D446" w14:textId="77777777" w:rsidTr="009564DA">
        <w:trPr>
          <w:trHeight w:val="2283"/>
          <w:jc w:val="center"/>
        </w:trPr>
        <w:tc>
          <w:tcPr>
            <w:tcW w:w="562" w:type="dxa"/>
          </w:tcPr>
          <w:p w14:paraId="22811A4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A4919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5" w:type="dxa"/>
          </w:tcPr>
          <w:p w14:paraId="4A33111C" w14:textId="08074876" w:rsidR="009564DA" w:rsidRPr="003A2302" w:rsidRDefault="009564DA" w:rsidP="009564D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заходи з пропаганди безпечної поведінки, безпеки життєдіяльності, знання правил дорожнього руху, безпеки поводження у громаді, в т.ч.: акції, семінари, практичні заняття, тренінги в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закладах, місцях масового відпочинку, парках, площах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24242E8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B198BD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3E179E8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14:paraId="316270F1" w14:textId="77777777" w:rsidTr="009564DA">
        <w:trPr>
          <w:jc w:val="center"/>
        </w:trPr>
        <w:tc>
          <w:tcPr>
            <w:tcW w:w="562" w:type="dxa"/>
          </w:tcPr>
          <w:p w14:paraId="7EC1477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E059E1" w14:textId="77777777" w:rsidR="009564DA" w:rsidRPr="001D750E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5" w:type="dxa"/>
          </w:tcPr>
          <w:p w14:paraId="6E73F628" w14:textId="55B7FE38" w:rsidR="009564DA" w:rsidRPr="00B31D44" w:rsidRDefault="009564DA" w:rsidP="009564DA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заходи щодо адаптації до корисного використання сучасних інформаційних технологій, профілактики негативного впливу Інтернету на підлітків та молодь.</w:t>
            </w:r>
          </w:p>
        </w:tc>
        <w:tc>
          <w:tcPr>
            <w:tcW w:w="992" w:type="dxa"/>
            <w:vMerge/>
            <w:vAlign w:val="center"/>
          </w:tcPr>
          <w:p w14:paraId="71B74F6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06DC11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2D9467E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2D18147" w14:textId="77777777" w:rsidTr="009564DA">
        <w:trPr>
          <w:jc w:val="center"/>
        </w:trPr>
        <w:tc>
          <w:tcPr>
            <w:tcW w:w="9493" w:type="dxa"/>
            <w:gridSpan w:val="5"/>
            <w:vAlign w:val="center"/>
          </w:tcPr>
          <w:p w14:paraId="2893A299" w14:textId="77777777" w:rsidR="009564DA" w:rsidRPr="003A2302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Національно-патріотичне виховання (здійснення заходів, спрямованих на утвердження патріотизму, громадянської свідомості й активної громадянської позиції молоді; розвиток молодіжного руху)</w:t>
            </w:r>
          </w:p>
        </w:tc>
      </w:tr>
      <w:tr w:rsidR="009564DA" w:rsidRPr="003A2302" w14:paraId="0F7F3CF2" w14:textId="77777777" w:rsidTr="009564DA">
        <w:trPr>
          <w:jc w:val="center"/>
        </w:trPr>
        <w:tc>
          <w:tcPr>
            <w:tcW w:w="562" w:type="dxa"/>
          </w:tcPr>
          <w:p w14:paraId="7A595562" w14:textId="77777777" w:rsidR="009564DA" w:rsidRDefault="009564DA" w:rsidP="0095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D939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95" w:type="dxa"/>
          </w:tcPr>
          <w:p w14:paraId="6D62A291" w14:textId="0EA09545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ефективного врахування думки молоді при реалізації молодіжної політики забезпечити діяльність Молодіжної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Білокриницької територіальної громади.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C039746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</w:tc>
        <w:tc>
          <w:tcPr>
            <w:tcW w:w="1984" w:type="dxa"/>
            <w:vMerge w:val="restart"/>
          </w:tcPr>
          <w:p w14:paraId="30CF4959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3DAAFC" w14:textId="77777777" w:rsidR="009564DA" w:rsidRDefault="009564DA" w:rsidP="009564DA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53C3F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молоді, спорту, культури та туризму Білокриницької сільської ради.</w:t>
            </w:r>
          </w:p>
          <w:p w14:paraId="3A75074B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A589E2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 та ЗДО</w:t>
            </w:r>
          </w:p>
          <w:p w14:paraId="07A78171" w14:textId="77777777" w:rsidR="009564DA" w:rsidRPr="00562A86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1D7377" w14:textId="77777777" w:rsidR="009564DA" w:rsidRDefault="009564DA" w:rsidP="009564DA">
            <w:pPr>
              <w:spacing w:line="360" w:lineRule="auto"/>
              <w:ind w:left="36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«Культурно-дозвіллевого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E36489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294C079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A8C097" w14:textId="77777777" w:rsidR="009564DA" w:rsidRDefault="009564DA" w:rsidP="0095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E75FA4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CFB4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клубних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50D7CB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EBF318" w14:textId="77777777" w:rsidR="009564DA" w:rsidRPr="00981344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99F8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бібліотек. </w:t>
            </w:r>
          </w:p>
          <w:p w14:paraId="0DD1DD09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196867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C711DC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молоді, спорту, культури та туризму Білокриницької сільської ради.</w:t>
            </w:r>
          </w:p>
          <w:p w14:paraId="5404E19D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5022D1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54A383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11AE87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 та ЗДО</w:t>
            </w:r>
          </w:p>
          <w:p w14:paraId="2A617E5C" w14:textId="61E02676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306FA8" w14:textId="77777777" w:rsidR="009564DA" w:rsidRPr="00562A86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32513F" w14:textId="4DA92DB5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«Культурно-дозвіллевого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63B5DB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44F7B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834D29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341B54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091BB1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78154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бібліотек. </w:t>
            </w:r>
          </w:p>
          <w:p w14:paraId="72D5965D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F66FDD" w14:textId="77777777" w:rsidR="009564DA" w:rsidRPr="00562A86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</w:tcPr>
          <w:p w14:paraId="372E315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2808C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E5DE9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99ED7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3833E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C2B921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E9125A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15F07B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5B87F6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1FB7C2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Передбачені кошти сільського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7D81002" w14:textId="77777777" w:rsidR="009564DA" w:rsidRDefault="009564DA" w:rsidP="0095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EAFD2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FEDEF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BC981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23E64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45FA8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A9B502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920576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E863E6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Позабюджетні кошти та за рахунок інших джерел  не заборонених чинним законодавством</w:t>
            </w:r>
          </w:p>
          <w:p w14:paraId="274D34D7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F0DE1E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85FFB6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AFC8A8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B178D9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Передбачені кошти сільського бюджету</w:t>
            </w:r>
          </w:p>
          <w:p w14:paraId="0A75EFEE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241CB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22FBC3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13AB5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62DEA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AC1CAA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39B270" w14:textId="6E4B51FE" w:rsidR="009564DA" w:rsidRPr="00C012FF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Позабюджетні кошти та за рахунок інших джерел  не заборонених чинним законодавством</w:t>
            </w:r>
          </w:p>
        </w:tc>
      </w:tr>
      <w:tr w:rsidR="009564DA" w:rsidRPr="003A2302" w14:paraId="3E201761" w14:textId="77777777" w:rsidTr="009564DA">
        <w:trPr>
          <w:jc w:val="center"/>
        </w:trPr>
        <w:tc>
          <w:tcPr>
            <w:tcW w:w="562" w:type="dxa"/>
          </w:tcPr>
          <w:p w14:paraId="1F51C39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CA449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95" w:type="dxa"/>
          </w:tcPr>
          <w:p w14:paraId="18BD1D2A" w14:textId="418B3343" w:rsidR="009564DA" w:rsidRP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проведення щорiчного конкурсу проектiв програм, розроблених молодiжними та дитячими громадськими об'єднаннями  стосовно реалізації молодіжної політики у громаді.</w:t>
            </w:r>
          </w:p>
        </w:tc>
        <w:tc>
          <w:tcPr>
            <w:tcW w:w="992" w:type="dxa"/>
            <w:vMerge/>
            <w:vAlign w:val="center"/>
          </w:tcPr>
          <w:p w14:paraId="2A14957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2B6114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4DC29D7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58AC97D" w14:textId="77777777" w:rsidTr="009564DA">
        <w:trPr>
          <w:jc w:val="center"/>
        </w:trPr>
        <w:tc>
          <w:tcPr>
            <w:tcW w:w="562" w:type="dxa"/>
          </w:tcPr>
          <w:p w14:paraId="702DB7B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ED81E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95" w:type="dxa"/>
          </w:tcPr>
          <w:p w14:paraId="45B9D0A0" w14:textId="143A57DA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участь активної молодi у форумах, конференцiях, що спрямованi на вирiшення актуальних молодiжних питань.</w:t>
            </w:r>
          </w:p>
        </w:tc>
        <w:tc>
          <w:tcPr>
            <w:tcW w:w="992" w:type="dxa"/>
            <w:vMerge/>
            <w:vAlign w:val="center"/>
          </w:tcPr>
          <w:p w14:paraId="0485708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E3BB6A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23DBE27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28C3926" w14:textId="77777777" w:rsidTr="009564DA">
        <w:trPr>
          <w:jc w:val="center"/>
        </w:trPr>
        <w:tc>
          <w:tcPr>
            <w:tcW w:w="562" w:type="dxa"/>
          </w:tcPr>
          <w:p w14:paraId="7860A25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0CCF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03957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95" w:type="dxa"/>
          </w:tcPr>
          <w:p w14:paraId="55A9AC94" w14:textId="1D48F6C0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заходи до Дня молодi, Дня Незалежності України, Дня міста, що сприяють пiдвищенню iнтересу молодi до проблем державотворення, розвитку демократiї та громадянського суспiльства, участi молодi у реалiзацiї державної молодiжної полiтики.</w:t>
            </w:r>
          </w:p>
        </w:tc>
        <w:tc>
          <w:tcPr>
            <w:tcW w:w="992" w:type="dxa"/>
            <w:vMerge/>
            <w:vAlign w:val="center"/>
          </w:tcPr>
          <w:p w14:paraId="694E9C8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07D8D7E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24E00E2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1D2932ED" w14:textId="77777777" w:rsidTr="009564DA">
        <w:trPr>
          <w:jc w:val="center"/>
        </w:trPr>
        <w:tc>
          <w:tcPr>
            <w:tcW w:w="562" w:type="dxa"/>
          </w:tcPr>
          <w:p w14:paraId="1879431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10A75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95" w:type="dxa"/>
          </w:tcPr>
          <w:p w14:paraId="7BE1BDA9" w14:textId="132EF234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молодіжні форуми, що спрямовані на вирiшення актуальних питань молоді.</w:t>
            </w:r>
          </w:p>
        </w:tc>
        <w:tc>
          <w:tcPr>
            <w:tcW w:w="992" w:type="dxa"/>
            <w:vMerge/>
            <w:vAlign w:val="center"/>
          </w:tcPr>
          <w:p w14:paraId="1E35FB5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7F76D9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A348D9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3B502C15" w14:textId="77777777" w:rsidTr="009564DA">
        <w:trPr>
          <w:jc w:val="center"/>
        </w:trPr>
        <w:tc>
          <w:tcPr>
            <w:tcW w:w="562" w:type="dxa"/>
          </w:tcPr>
          <w:p w14:paraId="509369B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C67FA" w14:textId="77777777" w:rsidR="009564DA" w:rsidRDefault="009564DA" w:rsidP="0095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95" w:type="dxa"/>
          </w:tcPr>
          <w:p w14:paraId="44F02193" w14:textId="0B0E6F30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навчання, тренінги, семінари, круглі столи та інші заходи з питань патріотичного виховання молоді 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 популяризації національної культури.</w:t>
            </w:r>
          </w:p>
        </w:tc>
        <w:tc>
          <w:tcPr>
            <w:tcW w:w="992" w:type="dxa"/>
            <w:vMerge/>
            <w:vAlign w:val="center"/>
          </w:tcPr>
          <w:p w14:paraId="4B44CFE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9E9BAE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6B3D07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20D92096" w14:textId="77777777" w:rsidTr="009564DA">
        <w:trPr>
          <w:jc w:val="center"/>
        </w:trPr>
        <w:tc>
          <w:tcPr>
            <w:tcW w:w="562" w:type="dxa"/>
          </w:tcPr>
          <w:p w14:paraId="0DB801D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2B514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95" w:type="dxa"/>
          </w:tcPr>
          <w:p w14:paraId="5379862E" w14:textId="43CC440D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участь молоді у заходах з питань патріотичного виховання молоді та популяризації національної культури.</w:t>
            </w:r>
          </w:p>
        </w:tc>
        <w:tc>
          <w:tcPr>
            <w:tcW w:w="992" w:type="dxa"/>
            <w:vMerge/>
            <w:vAlign w:val="center"/>
          </w:tcPr>
          <w:p w14:paraId="781D660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AE01A2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2257E42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709A949A" w14:textId="77777777" w:rsidTr="009564DA">
        <w:trPr>
          <w:jc w:val="center"/>
        </w:trPr>
        <w:tc>
          <w:tcPr>
            <w:tcW w:w="562" w:type="dxa"/>
          </w:tcPr>
          <w:p w14:paraId="44C3E19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B292E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95" w:type="dxa"/>
          </w:tcPr>
          <w:p w14:paraId="6A6C1691" w14:textId="0E5B88BB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молодіжні заходи до державних свят України.</w:t>
            </w:r>
          </w:p>
        </w:tc>
        <w:tc>
          <w:tcPr>
            <w:tcW w:w="992" w:type="dxa"/>
            <w:vMerge/>
            <w:vAlign w:val="center"/>
          </w:tcPr>
          <w:p w14:paraId="4FAAA8D8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11C3D1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13604DE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5807B809" w14:textId="77777777" w:rsidTr="009564DA">
        <w:trPr>
          <w:jc w:val="center"/>
        </w:trPr>
        <w:tc>
          <w:tcPr>
            <w:tcW w:w="562" w:type="dxa"/>
          </w:tcPr>
          <w:p w14:paraId="7543BC6C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A06B6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95" w:type="dxa"/>
          </w:tcPr>
          <w:p w14:paraId="3AAD8315" w14:textId="689937E3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заходи з метою популяризації культури, традицій, звичаїв, побуту, фольклору українського народу.</w:t>
            </w:r>
          </w:p>
        </w:tc>
        <w:tc>
          <w:tcPr>
            <w:tcW w:w="992" w:type="dxa"/>
            <w:vMerge/>
            <w:vAlign w:val="center"/>
          </w:tcPr>
          <w:p w14:paraId="2D8A834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5DB6C6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3DD9651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62A6937" w14:textId="77777777" w:rsidTr="009564DA">
        <w:trPr>
          <w:jc w:val="center"/>
        </w:trPr>
        <w:tc>
          <w:tcPr>
            <w:tcW w:w="562" w:type="dxa"/>
          </w:tcPr>
          <w:p w14:paraId="3B2C103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767A0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95" w:type="dxa"/>
          </w:tcPr>
          <w:p w14:paraId="3F10A0EF" w14:textId="5901E404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заходи з метою виховання у молоді правової культури, поваги до Конституції України, Законів України, державних символів – Герба, Прапора, Гімну України.</w:t>
            </w:r>
          </w:p>
        </w:tc>
        <w:tc>
          <w:tcPr>
            <w:tcW w:w="992" w:type="dxa"/>
            <w:vMerge/>
            <w:vAlign w:val="center"/>
          </w:tcPr>
          <w:p w14:paraId="7BFAD9A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17C939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335E8A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7001BA21" w14:textId="77777777" w:rsidTr="009564DA">
        <w:trPr>
          <w:jc w:val="center"/>
        </w:trPr>
        <w:tc>
          <w:tcPr>
            <w:tcW w:w="562" w:type="dxa"/>
          </w:tcPr>
          <w:p w14:paraId="64133F1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67691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95" w:type="dxa"/>
          </w:tcPr>
          <w:p w14:paraId="6C89DE37" w14:textId="38956484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розширенню туристично-краєзнавчої роботи для молоді, спрямованої на відродження національних традицій, формування національної свідомості дітей, підлітків та молоді.</w:t>
            </w:r>
          </w:p>
        </w:tc>
        <w:tc>
          <w:tcPr>
            <w:tcW w:w="992" w:type="dxa"/>
            <w:vMerge/>
            <w:vAlign w:val="center"/>
          </w:tcPr>
          <w:p w14:paraId="001EDF7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B6F98E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434959A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3530B9FD" w14:textId="77777777" w:rsidTr="009564DA">
        <w:trPr>
          <w:jc w:val="center"/>
        </w:trPr>
        <w:tc>
          <w:tcPr>
            <w:tcW w:w="562" w:type="dxa"/>
          </w:tcPr>
          <w:p w14:paraId="0D4E68FF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1EAC6C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5" w:type="dxa"/>
          </w:tcPr>
          <w:p w14:paraId="03295EF5" w14:textId="563DE77B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3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освітньо-інформаційних, туристично-краєзнавчих екскурсій, позакласної роботи з вивчення історії рідного краю.</w:t>
            </w:r>
          </w:p>
        </w:tc>
        <w:tc>
          <w:tcPr>
            <w:tcW w:w="992" w:type="dxa"/>
            <w:vMerge/>
            <w:vAlign w:val="center"/>
          </w:tcPr>
          <w:p w14:paraId="652C8ED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970533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6534C9D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14694356" w14:textId="77777777" w:rsidTr="009564DA">
        <w:trPr>
          <w:jc w:val="center"/>
        </w:trPr>
        <w:tc>
          <w:tcPr>
            <w:tcW w:w="562" w:type="dxa"/>
          </w:tcPr>
          <w:p w14:paraId="295BFA2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994CF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2A778C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5" w:type="dxa"/>
          </w:tcPr>
          <w:p w14:paraId="5B6F9F75" w14:textId="1FE6371F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заходи та проводити конкурси зі сприяння патріотичному вихованню молоді до своєї країни і міста, в т.ч. - «Я-українець!», «Я-люблю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Білокриницьку територіальну громаду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«Це-моя громада!», 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«Модна вишиванка», 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644535F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E3495E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5268AAB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7E0679C4" w14:textId="77777777" w:rsidTr="009564DA">
        <w:trPr>
          <w:jc w:val="center"/>
        </w:trPr>
        <w:tc>
          <w:tcPr>
            <w:tcW w:w="562" w:type="dxa"/>
          </w:tcPr>
          <w:p w14:paraId="2548F776" w14:textId="77777777" w:rsidR="009564DA" w:rsidRPr="00F51A62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2CB3" w14:textId="77777777" w:rsidR="009564DA" w:rsidRPr="00F51A62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D020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5" w:type="dxa"/>
          </w:tcPr>
          <w:p w14:paraId="1933A7C2" w14:textId="5DDD6724" w:rsidR="009564DA" w:rsidRPr="00761EAF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нагородження грамотами, стипендіями, подарунками талановиту молодь, що бере активну участь у розв’язанні актуальних соціально-економічних проблем громади, залучається до волонтерського руху.</w:t>
            </w:r>
          </w:p>
        </w:tc>
        <w:tc>
          <w:tcPr>
            <w:tcW w:w="992" w:type="dxa"/>
            <w:vMerge/>
            <w:vAlign w:val="center"/>
          </w:tcPr>
          <w:p w14:paraId="6DB78C1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585A37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62DE1CD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0F601F7F" w14:textId="77777777" w:rsidTr="009564DA">
        <w:trPr>
          <w:jc w:val="center"/>
        </w:trPr>
        <w:tc>
          <w:tcPr>
            <w:tcW w:w="562" w:type="dxa"/>
          </w:tcPr>
          <w:p w14:paraId="597A3D7A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531A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5" w:type="dxa"/>
          </w:tcPr>
          <w:p w14:paraId="1648AD7A" w14:textId="11CAC9D7" w:rsidR="009564DA" w:rsidRPr="003A2302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для підвищення соціальної активності молоді з числа переселенців із тимчасово окупованих територій та зони проведення АТО.</w:t>
            </w:r>
          </w:p>
        </w:tc>
        <w:tc>
          <w:tcPr>
            <w:tcW w:w="992" w:type="dxa"/>
            <w:vMerge/>
            <w:vAlign w:val="center"/>
          </w:tcPr>
          <w:p w14:paraId="7D33F0E4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CAD574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30FA5A1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08EE635D" w14:textId="77777777" w:rsidTr="009564DA">
        <w:trPr>
          <w:jc w:val="center"/>
        </w:trPr>
        <w:tc>
          <w:tcPr>
            <w:tcW w:w="562" w:type="dxa"/>
          </w:tcPr>
          <w:p w14:paraId="75A50281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17FB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E19B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5" w:type="dxa"/>
          </w:tcPr>
          <w:p w14:paraId="0568E001" w14:textId="11909B92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культурно-мистецьких та освітньо-виховних заходів, спрямованих на ознайомлення з історією та традиціями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Білокриницької територіальної громади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дітей та молоді з тимчасово окупованих територій та зони проведення 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2366336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2CE89E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688D1F1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A40EB18" w14:textId="77777777" w:rsidTr="009564DA">
        <w:trPr>
          <w:jc w:val="center"/>
        </w:trPr>
        <w:tc>
          <w:tcPr>
            <w:tcW w:w="9493" w:type="dxa"/>
            <w:gridSpan w:val="5"/>
            <w:vAlign w:val="center"/>
          </w:tcPr>
          <w:p w14:paraId="3C66AE7E" w14:textId="77777777" w:rsidR="009564DA" w:rsidRPr="00761EAF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</w:t>
            </w:r>
            <w:r w:rsidRPr="00B31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ідтримка творчих ініціатив та сприяння розвитку змістовного дозвілля молоді</w:t>
            </w:r>
          </w:p>
        </w:tc>
      </w:tr>
      <w:tr w:rsidR="009564DA" w:rsidRPr="003A2302" w14:paraId="44C5F669" w14:textId="77777777" w:rsidTr="009564DA">
        <w:trPr>
          <w:jc w:val="center"/>
        </w:trPr>
        <w:tc>
          <w:tcPr>
            <w:tcW w:w="562" w:type="dxa"/>
          </w:tcPr>
          <w:p w14:paraId="3787D0F6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2DA7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5A06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5" w:type="dxa"/>
          </w:tcPr>
          <w:p w14:paraId="5A0689D8" w14:textId="77777777" w:rsid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 проведенню молодіжних творчих заходів до відзначення державних свят, зокрема, Дня Незалежності України, Дня Конституції, Дня Соборності, Дня молоді України, інші.</w:t>
            </w:r>
          </w:p>
          <w:p w14:paraId="47E3125D" w14:textId="77777777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D444D07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  <w:p w14:paraId="704BFE2D" w14:textId="77777777" w:rsidR="009564DA" w:rsidRDefault="009564DA" w:rsidP="009564D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14:paraId="2E62EF46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20BB3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молоді, спорту, культури та туризму Білокриницької сільської ради.</w:t>
            </w:r>
          </w:p>
          <w:p w14:paraId="2C079F81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EEAA9" w14:textId="77777777" w:rsidR="009564DA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ЗЗСО та ЗДО</w:t>
            </w:r>
          </w:p>
          <w:p w14:paraId="0EFD2439" w14:textId="77777777" w:rsidR="009564DA" w:rsidRPr="00562A86" w:rsidRDefault="009564DA" w:rsidP="009564DA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63557B" w14:textId="77777777" w:rsidR="009564DA" w:rsidRDefault="009564DA" w:rsidP="009564DA">
            <w:pPr>
              <w:spacing w:line="360" w:lineRule="auto"/>
              <w:ind w:left="36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«Культурно-дозвіллевого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D3210F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7A7F9F7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2D5771" w14:textId="77777777" w:rsidR="009564DA" w:rsidRDefault="009564DA" w:rsidP="009564DA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DA9E49F" w14:textId="77777777" w:rsidR="009564DA" w:rsidRDefault="009564DA" w:rsidP="0095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B46ED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клубних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0E22F3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F9820" w14:textId="77777777" w:rsidR="009564DA" w:rsidRDefault="009564DA" w:rsidP="009564DA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BC0E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бібліотек.</w:t>
            </w:r>
          </w:p>
        </w:tc>
        <w:tc>
          <w:tcPr>
            <w:tcW w:w="1560" w:type="dxa"/>
            <w:vMerge w:val="restart"/>
          </w:tcPr>
          <w:p w14:paraId="0404C12E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573B1F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7F29AD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6E764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FBBCCD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AD750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36F2DC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B3B6FB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23A13E7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91A5CF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Передбачені кошти сільського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36D0D4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A23FD1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77208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7883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A1E0D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508148" w14:textId="77777777" w:rsidR="009564DA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7C9DFF" w14:textId="77777777" w:rsidR="009564DA" w:rsidRPr="00C012FF" w:rsidRDefault="009564DA" w:rsidP="009564DA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Позабюджетні кошти та за рахунок інших джерел  не заборонених чинним законодавством</w:t>
            </w:r>
          </w:p>
        </w:tc>
      </w:tr>
      <w:tr w:rsidR="009564DA" w:rsidRPr="003A2302" w14:paraId="341BE3AD" w14:textId="77777777" w:rsidTr="009564DA">
        <w:trPr>
          <w:jc w:val="center"/>
        </w:trPr>
        <w:tc>
          <w:tcPr>
            <w:tcW w:w="562" w:type="dxa"/>
          </w:tcPr>
          <w:p w14:paraId="798AEB83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0AD5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5" w:type="dxa"/>
          </w:tcPr>
          <w:p w14:paraId="21FE6C2A" w14:textId="77777777" w:rsidR="009564DA" w:rsidRPr="00FE1347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молодіжні заходи до відзначення свят, зокрема, Різдва Христового, Великодніх свят, Івана Купала,Св.Миколая, Св.Валентина, 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888587B" w14:textId="77777777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1B73CA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D9DAD1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3505A1C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B5E9F" w14:paraId="28E33439" w14:textId="77777777" w:rsidTr="009564DA">
        <w:trPr>
          <w:jc w:val="center"/>
        </w:trPr>
        <w:tc>
          <w:tcPr>
            <w:tcW w:w="562" w:type="dxa"/>
          </w:tcPr>
          <w:p w14:paraId="2CFA26E9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81ED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5" w:type="dxa"/>
          </w:tcPr>
          <w:p w14:paraId="688C2D4C" w14:textId="77777777" w:rsid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Організовувати заходи з популяризації молодіжної творчості, зокрема, літературні вечори, фотовиставки,танцювальні майстер-класи, флешмоби, квести та інші.</w:t>
            </w:r>
          </w:p>
          <w:p w14:paraId="64B2B265" w14:textId="77777777" w:rsidR="009564DA" w:rsidRPr="00761EAF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672BB3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A84DD6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62DDF7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4F712893" w14:textId="77777777" w:rsidTr="009564DA">
        <w:trPr>
          <w:jc w:val="center"/>
        </w:trPr>
        <w:tc>
          <w:tcPr>
            <w:tcW w:w="562" w:type="dxa"/>
          </w:tcPr>
          <w:p w14:paraId="2F572D9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7C2317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5" w:type="dxa"/>
          </w:tcPr>
          <w:p w14:paraId="3B5AF628" w14:textId="77777777" w:rsidR="009564DA" w:rsidRPr="00FE1347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Сприяти реалізації проектів, спрямованих на співпрацю навчальних закладів з молодіжними та дитячими об'єднаннями у галузі інтелектуального розвитку молоді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BA23D57" w14:textId="77777777" w:rsidR="009564DA" w:rsidRPr="00761EAF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A180029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5CAD84B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61D8A65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38D1F4F8" w14:textId="77777777" w:rsidTr="009564DA">
        <w:trPr>
          <w:trHeight w:val="2269"/>
          <w:jc w:val="center"/>
        </w:trPr>
        <w:tc>
          <w:tcPr>
            <w:tcW w:w="562" w:type="dxa"/>
          </w:tcPr>
          <w:p w14:paraId="432E5D41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55E3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C60D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5" w:type="dxa"/>
          </w:tcPr>
          <w:p w14:paraId="7EB5995D" w14:textId="77777777" w:rsid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та забезпечувати участь молодіжних делегацій в фестивалях, виставках, конкурсах, форумах, творчих змаганнях, семінарах та інших заходах, в т.ч. і за межами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Білокриницької територіальної громади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C99147" w14:textId="77777777" w:rsidR="009564DA" w:rsidRPr="00761EAF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AD71A73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91E767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40B347B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2A272968" w14:textId="77777777" w:rsidTr="009564DA">
        <w:trPr>
          <w:jc w:val="center"/>
        </w:trPr>
        <w:tc>
          <w:tcPr>
            <w:tcW w:w="562" w:type="dxa"/>
          </w:tcPr>
          <w:p w14:paraId="69AF9340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F131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1B0B5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5" w:type="dxa"/>
          </w:tcPr>
          <w:p w14:paraId="3184C34E" w14:textId="77777777" w:rsidR="009564DA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Організовувати проведення суспільно корисних заходів та акцій для підлітків та молоді в місцях масового відпочинку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Білокриницької територіальної громади</w:t>
            </w: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455FFA" w14:textId="77777777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97FCF16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73873F5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0BC54650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64DA" w:rsidRPr="003A2302" w14:paraId="130751A5" w14:textId="77777777" w:rsidTr="009564DA">
        <w:trPr>
          <w:jc w:val="center"/>
        </w:trPr>
        <w:tc>
          <w:tcPr>
            <w:tcW w:w="562" w:type="dxa"/>
          </w:tcPr>
          <w:p w14:paraId="3B6C330E" w14:textId="77777777" w:rsidR="009564DA" w:rsidRPr="007B128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635F" w14:textId="77777777" w:rsidR="009564DA" w:rsidRPr="0085030B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95" w:type="dxa"/>
          </w:tcPr>
          <w:p w14:paraId="0EE7BFDF" w14:textId="487594F4" w:rsidR="009564DA" w:rsidRPr="00B31D44" w:rsidRDefault="009564DA" w:rsidP="009564DA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заходи із інформування молоді про перспективи і проблеми при користуванні інформаційними технологіями: Інтернет, соціальних мереж.</w:t>
            </w:r>
          </w:p>
        </w:tc>
        <w:tc>
          <w:tcPr>
            <w:tcW w:w="992" w:type="dxa"/>
            <w:vMerge/>
            <w:vAlign w:val="center"/>
          </w:tcPr>
          <w:p w14:paraId="6BB87832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EE7FA1F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14:paraId="447336BA" w14:textId="77777777" w:rsidR="009564DA" w:rsidRDefault="009564DA" w:rsidP="009564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AD3D2C7" w14:textId="77777777" w:rsidR="009564DA" w:rsidRPr="003A2302" w:rsidRDefault="009564DA" w:rsidP="00AC0B99">
      <w:pPr>
        <w:rPr>
          <w:lang w:val="uk-UA"/>
        </w:rPr>
      </w:pPr>
    </w:p>
    <w:p w14:paraId="4B49D9BC" w14:textId="77777777" w:rsidR="009564DA" w:rsidRPr="00834E7E" w:rsidRDefault="009564DA" w:rsidP="009564D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D7C300" w14:textId="77777777" w:rsidR="00665415" w:rsidRDefault="00665415" w:rsidP="00665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2746DB1" w14:textId="0EC23E2B" w:rsidR="00665415" w:rsidRPr="00665415" w:rsidRDefault="00665415" w:rsidP="00665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Hlk65744187"/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Секретар сільської ради </w:t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665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Ірина ДАЮК</w:t>
      </w:r>
    </w:p>
    <w:bookmarkEnd w:id="2"/>
    <w:p w14:paraId="13CABD0A" w14:textId="77777777" w:rsidR="00F61606" w:rsidRDefault="00F6160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61606" w:rsidSect="0095552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59"/>
    <w:multiLevelType w:val="hybridMultilevel"/>
    <w:tmpl w:val="4030E666"/>
    <w:lvl w:ilvl="0" w:tplc="871014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E057F6"/>
    <w:multiLevelType w:val="multilevel"/>
    <w:tmpl w:val="9828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C25EA"/>
    <w:multiLevelType w:val="multilevel"/>
    <w:tmpl w:val="6AA0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E69E7"/>
    <w:multiLevelType w:val="multilevel"/>
    <w:tmpl w:val="061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91C74"/>
    <w:multiLevelType w:val="hybridMultilevel"/>
    <w:tmpl w:val="A7C4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25"/>
    <w:rsid w:val="000C49CC"/>
    <w:rsid w:val="00157986"/>
    <w:rsid w:val="002D298C"/>
    <w:rsid w:val="003B5E9F"/>
    <w:rsid w:val="0043004A"/>
    <w:rsid w:val="00431425"/>
    <w:rsid w:val="00495663"/>
    <w:rsid w:val="004E7BE3"/>
    <w:rsid w:val="00540B20"/>
    <w:rsid w:val="00573CF2"/>
    <w:rsid w:val="00582428"/>
    <w:rsid w:val="00602A1F"/>
    <w:rsid w:val="00665415"/>
    <w:rsid w:val="00786C1F"/>
    <w:rsid w:val="008041C1"/>
    <w:rsid w:val="00872119"/>
    <w:rsid w:val="00891D51"/>
    <w:rsid w:val="008B1B9D"/>
    <w:rsid w:val="008C0930"/>
    <w:rsid w:val="00955528"/>
    <w:rsid w:val="009564DA"/>
    <w:rsid w:val="009A146D"/>
    <w:rsid w:val="00B31D44"/>
    <w:rsid w:val="00B854A9"/>
    <w:rsid w:val="00C21258"/>
    <w:rsid w:val="00D317F2"/>
    <w:rsid w:val="00D6688C"/>
    <w:rsid w:val="00D823D3"/>
    <w:rsid w:val="00D939D0"/>
    <w:rsid w:val="00E07BE3"/>
    <w:rsid w:val="00E1120E"/>
    <w:rsid w:val="00E33CCE"/>
    <w:rsid w:val="00E56B9F"/>
    <w:rsid w:val="00E64CFE"/>
    <w:rsid w:val="00EF33BE"/>
    <w:rsid w:val="00F61606"/>
    <w:rsid w:val="00FC1EF3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A223"/>
  <w15:chartTrackingRefBased/>
  <w15:docId w15:val="{86F408F1-5C20-48EC-B180-AD3FDC9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40B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891D51"/>
    <w:pPr>
      <w:widowControl w:val="0"/>
      <w:spacing w:after="0" w:line="240" w:lineRule="auto"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891D51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3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10CC-220A-4865-A179-37CE4F4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2021-03-04T07:56:00Z</cp:lastPrinted>
  <dcterms:created xsi:type="dcterms:W3CDTF">2021-03-11T12:17:00Z</dcterms:created>
  <dcterms:modified xsi:type="dcterms:W3CDTF">2021-03-12T15:33:00Z</dcterms:modified>
</cp:coreProperties>
</file>